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748"/>
      </w:tblGrid>
      <w:tr w:rsidR="00686DF1" w:rsidRPr="00406EBF" w14:paraId="11E7ABEB" w14:textId="77777777" w:rsidTr="00FC301F">
        <w:trPr>
          <w:trHeight w:val="2834"/>
        </w:trPr>
        <w:tc>
          <w:tcPr>
            <w:tcW w:w="2694" w:type="dxa"/>
            <w:shd w:val="clear" w:color="auto" w:fill="0F243E" w:themeFill="text2" w:themeFillShade="80"/>
          </w:tcPr>
          <w:p w14:paraId="76C575BB" w14:textId="77777777" w:rsidR="00686DF1" w:rsidRPr="00406EBF" w:rsidRDefault="00686DF1" w:rsidP="001878CC">
            <w:pPr>
              <w:rPr>
                <w:rFonts w:cstheme="minorHAnsi"/>
                <w:sz w:val="21"/>
                <w:szCs w:val="21"/>
              </w:rPr>
            </w:pPr>
          </w:p>
          <w:p w14:paraId="61950EEA" w14:textId="77777777" w:rsidR="00FB3DFF" w:rsidRPr="00406EBF" w:rsidRDefault="00FB3DFF" w:rsidP="001878CC">
            <w:pPr>
              <w:jc w:val="center"/>
              <w:rPr>
                <w:rFonts w:cstheme="minorHAnsi"/>
                <w:sz w:val="21"/>
                <w:szCs w:val="21"/>
              </w:rPr>
            </w:pPr>
          </w:p>
          <w:p w14:paraId="2E6A08DE" w14:textId="77777777" w:rsidR="00FB3DFF" w:rsidRPr="00406EBF" w:rsidRDefault="00FB3DFF" w:rsidP="001878CC">
            <w:pPr>
              <w:jc w:val="center"/>
              <w:rPr>
                <w:rFonts w:cstheme="minorHAnsi"/>
                <w:sz w:val="21"/>
                <w:szCs w:val="21"/>
              </w:rPr>
            </w:pPr>
          </w:p>
          <w:p w14:paraId="34E2E8AB" w14:textId="24E86A0C" w:rsidR="00D36ABB" w:rsidRPr="00406EBF" w:rsidRDefault="00D36ABB" w:rsidP="00FC301F">
            <w:pPr>
              <w:rPr>
                <w:rFonts w:cstheme="minorHAnsi"/>
                <w:sz w:val="21"/>
                <w:szCs w:val="21"/>
              </w:rPr>
            </w:pPr>
            <w:r w:rsidRPr="00406EBF">
              <w:rPr>
                <w:rFonts w:cstheme="minorHAnsi"/>
                <w:b/>
                <w:sz w:val="21"/>
                <w:szCs w:val="21"/>
              </w:rPr>
              <w:t>Adoption</w:t>
            </w:r>
            <w:r w:rsidRPr="00406EBF">
              <w:rPr>
                <w:rFonts w:cstheme="minorHAnsi"/>
                <w:sz w:val="21"/>
                <w:szCs w:val="21"/>
              </w:rPr>
              <w:t xml:space="preserve"> : </w:t>
            </w:r>
            <w:r w:rsidR="008F2D89">
              <w:rPr>
                <w:rFonts w:cstheme="minorHAnsi"/>
                <w:sz w:val="21"/>
                <w:szCs w:val="21"/>
              </w:rPr>
              <w:t>6 décembre 2019</w:t>
            </w:r>
          </w:p>
          <w:p w14:paraId="0004AE8F" w14:textId="77777777" w:rsidR="00686DF1" w:rsidRPr="00406EBF" w:rsidRDefault="00D36ABB" w:rsidP="00FC301F">
            <w:pPr>
              <w:rPr>
                <w:rFonts w:cstheme="minorHAnsi"/>
                <w:sz w:val="21"/>
                <w:szCs w:val="21"/>
              </w:rPr>
            </w:pPr>
            <w:r w:rsidRPr="00406EBF">
              <w:rPr>
                <w:rFonts w:cstheme="minorHAnsi"/>
                <w:b/>
                <w:sz w:val="21"/>
                <w:szCs w:val="21"/>
              </w:rPr>
              <w:t>Publication</w:t>
            </w:r>
            <w:r w:rsidRPr="00406EBF">
              <w:rPr>
                <w:rFonts w:cstheme="minorHAnsi"/>
                <w:sz w:val="21"/>
                <w:szCs w:val="21"/>
              </w:rPr>
              <w:t xml:space="preserve"> : </w:t>
            </w:r>
            <w:r w:rsidR="00125962" w:rsidRPr="00406EBF">
              <w:rPr>
                <w:rFonts w:cstheme="minorHAnsi"/>
                <w:sz w:val="21"/>
                <w:szCs w:val="21"/>
              </w:rPr>
              <w:t>…</w:t>
            </w:r>
          </w:p>
        </w:tc>
        <w:tc>
          <w:tcPr>
            <w:tcW w:w="8748" w:type="dxa"/>
            <w:vMerge w:val="restart"/>
            <w:shd w:val="clear" w:color="auto" w:fill="365F91" w:themeFill="accent1" w:themeFillShade="BF"/>
          </w:tcPr>
          <w:p w14:paraId="4EA94D89" w14:textId="77777777" w:rsidR="00686DF1" w:rsidRPr="00406EBF" w:rsidRDefault="00686DF1" w:rsidP="001878CC">
            <w:pPr>
              <w:ind w:left="459" w:right="876"/>
              <w:jc w:val="right"/>
              <w:rPr>
                <w:rFonts w:cstheme="minorHAnsi"/>
                <w:b/>
                <w:sz w:val="50"/>
                <w:szCs w:val="50"/>
              </w:rPr>
            </w:pPr>
          </w:p>
          <w:p w14:paraId="1D5A1EC1" w14:textId="3FCB609A" w:rsidR="00886A0C" w:rsidRPr="00406EBF" w:rsidRDefault="00635F22" w:rsidP="001878CC">
            <w:pPr>
              <w:ind w:left="459" w:right="734"/>
              <w:jc w:val="right"/>
              <w:rPr>
                <w:rFonts w:eastAsiaTheme="minorEastAsia"/>
                <w:color w:val="FFFFFF" w:themeColor="background1"/>
                <w:sz w:val="21"/>
                <w:szCs w:val="21"/>
                <w:lang w:eastAsia="zh-CN"/>
              </w:rPr>
            </w:pPr>
            <w:bookmarkStart w:id="0" w:name="_GoBack"/>
            <w:bookmarkEnd w:id="0"/>
            <w:r w:rsidRPr="00406EBF">
              <w:rPr>
                <w:rFonts w:eastAsiaTheme="minorEastAsia"/>
                <w:color w:val="FFFFFF" w:themeColor="background1"/>
                <w:sz w:val="21"/>
                <w:szCs w:val="21"/>
                <w:lang w:eastAsia="zh-CN"/>
              </w:rPr>
              <w:t>GrecoEval5Rep(201</w:t>
            </w:r>
            <w:r w:rsidR="008041DA" w:rsidRPr="00406EBF">
              <w:rPr>
                <w:rFonts w:eastAsiaTheme="minorEastAsia"/>
                <w:color w:val="FFFFFF" w:themeColor="background1"/>
                <w:sz w:val="21"/>
                <w:szCs w:val="21"/>
                <w:lang w:eastAsia="zh-CN"/>
              </w:rPr>
              <w:t>9</w:t>
            </w:r>
            <w:r w:rsidR="00FB38AB" w:rsidRPr="00406EBF">
              <w:rPr>
                <w:rFonts w:eastAsiaTheme="minorEastAsia"/>
                <w:color w:val="FFFFFF" w:themeColor="background1"/>
                <w:sz w:val="21"/>
                <w:szCs w:val="21"/>
                <w:lang w:eastAsia="zh-CN"/>
              </w:rPr>
              <w:t>)</w:t>
            </w:r>
            <w:r w:rsidR="008041DA" w:rsidRPr="00406EBF">
              <w:rPr>
                <w:rFonts w:eastAsiaTheme="minorEastAsia"/>
                <w:color w:val="FFFFFF" w:themeColor="background1"/>
                <w:sz w:val="21"/>
                <w:szCs w:val="21"/>
                <w:lang w:eastAsia="zh-CN"/>
              </w:rPr>
              <w:t>3</w:t>
            </w:r>
          </w:p>
          <w:p w14:paraId="255A860A" w14:textId="77777777" w:rsidR="00FB38AB" w:rsidRPr="00406EBF" w:rsidRDefault="00FB38AB" w:rsidP="001878CC">
            <w:pPr>
              <w:ind w:left="459" w:right="734"/>
              <w:jc w:val="right"/>
              <w:rPr>
                <w:rFonts w:eastAsiaTheme="minorEastAsia"/>
                <w:color w:val="FFFFFF" w:themeColor="background1"/>
                <w:sz w:val="27"/>
                <w:szCs w:val="27"/>
                <w:lang w:eastAsia="zh-CN"/>
              </w:rPr>
            </w:pPr>
          </w:p>
          <w:p w14:paraId="1CD502C1" w14:textId="77777777" w:rsidR="00A45084" w:rsidRPr="00406EBF" w:rsidRDefault="00A45084" w:rsidP="001878CC">
            <w:pPr>
              <w:ind w:left="459" w:right="734"/>
              <w:jc w:val="right"/>
              <w:rPr>
                <w:rFonts w:eastAsiaTheme="minorEastAsia"/>
                <w:color w:val="FFFFFF" w:themeColor="background1"/>
                <w:sz w:val="27"/>
                <w:szCs w:val="27"/>
                <w:lang w:eastAsia="zh-CN"/>
              </w:rPr>
            </w:pPr>
          </w:p>
          <w:p w14:paraId="32D766C7" w14:textId="77777777" w:rsidR="00130B03" w:rsidRPr="00406EBF" w:rsidRDefault="00130B03" w:rsidP="001878CC">
            <w:pPr>
              <w:ind w:right="734"/>
              <w:jc w:val="right"/>
              <w:rPr>
                <w:rFonts w:cstheme="minorHAnsi"/>
                <w:b/>
                <w:iCs/>
                <w:color w:val="FFFFFF" w:themeColor="background1"/>
                <w:sz w:val="46"/>
                <w:szCs w:val="46"/>
              </w:rPr>
            </w:pPr>
            <w:r w:rsidRPr="00406EBF">
              <w:rPr>
                <w:rFonts w:cstheme="minorHAnsi"/>
                <w:b/>
                <w:color w:val="FFFFFF" w:themeColor="background1"/>
                <w:sz w:val="46"/>
                <w:szCs w:val="46"/>
              </w:rPr>
              <w:t>CINQUI</w:t>
            </w:r>
            <w:r w:rsidRPr="00406EBF">
              <w:rPr>
                <w:rFonts w:cstheme="minorHAnsi"/>
                <w:b/>
                <w:smallCaps/>
                <w:color w:val="FFFFFF" w:themeColor="background1"/>
                <w:sz w:val="46"/>
                <w:szCs w:val="46"/>
              </w:rPr>
              <w:t>È</w:t>
            </w:r>
            <w:r w:rsidRPr="00406EBF">
              <w:rPr>
                <w:rFonts w:cstheme="minorHAnsi"/>
                <w:b/>
                <w:color w:val="FFFFFF" w:themeColor="background1"/>
                <w:sz w:val="46"/>
                <w:szCs w:val="46"/>
              </w:rPr>
              <w:t>ME CYCLE D’</w:t>
            </w:r>
            <w:r w:rsidRPr="00406EBF">
              <w:rPr>
                <w:rFonts w:cstheme="minorHAnsi"/>
                <w:b/>
                <w:bCs/>
                <w:color w:val="FFFFFF" w:themeColor="background1"/>
                <w:sz w:val="46"/>
                <w:szCs w:val="46"/>
              </w:rPr>
              <w:t>É</w:t>
            </w:r>
            <w:r w:rsidRPr="00406EBF">
              <w:rPr>
                <w:rFonts w:cstheme="minorHAnsi"/>
                <w:b/>
                <w:color w:val="FFFFFF" w:themeColor="background1"/>
                <w:sz w:val="46"/>
                <w:szCs w:val="46"/>
              </w:rPr>
              <w:t>VALUATION</w:t>
            </w:r>
          </w:p>
          <w:p w14:paraId="0C8EB0C5" w14:textId="77777777" w:rsidR="00130B03" w:rsidRPr="00406EBF" w:rsidRDefault="00130B03" w:rsidP="001878CC">
            <w:pPr>
              <w:ind w:left="459" w:right="734"/>
              <w:jc w:val="right"/>
              <w:rPr>
                <w:rFonts w:eastAsiaTheme="minorEastAsia"/>
                <w:color w:val="FFFFFF" w:themeColor="background1"/>
                <w:sz w:val="27"/>
                <w:szCs w:val="27"/>
                <w:lang w:eastAsia="zh-CN"/>
              </w:rPr>
            </w:pPr>
            <w:r w:rsidRPr="00406EBF">
              <w:rPr>
                <w:rFonts w:eastAsiaTheme="minorEastAsia"/>
                <w:color w:val="FFFFFF" w:themeColor="background1"/>
                <w:sz w:val="27"/>
                <w:szCs w:val="27"/>
                <w:lang w:eastAsia="zh-CN"/>
              </w:rPr>
              <w:t xml:space="preserve">Prévention de la corruption et promotion de l’intégrité au sein </w:t>
            </w:r>
          </w:p>
          <w:p w14:paraId="59202C30" w14:textId="77777777" w:rsidR="00130B03" w:rsidRPr="00406EBF" w:rsidRDefault="00130B03" w:rsidP="001878CC">
            <w:pPr>
              <w:ind w:left="459" w:right="734"/>
              <w:jc w:val="right"/>
              <w:rPr>
                <w:rFonts w:eastAsiaTheme="minorEastAsia"/>
                <w:color w:val="FFFFFF" w:themeColor="background1"/>
                <w:sz w:val="27"/>
                <w:szCs w:val="27"/>
                <w:lang w:eastAsia="zh-CN"/>
              </w:rPr>
            </w:pPr>
            <w:r w:rsidRPr="00406EBF">
              <w:rPr>
                <w:rFonts w:eastAsiaTheme="minorEastAsia"/>
                <w:color w:val="FFFFFF" w:themeColor="background1"/>
                <w:sz w:val="27"/>
                <w:szCs w:val="27"/>
                <w:lang w:eastAsia="zh-CN"/>
              </w:rPr>
              <w:t xml:space="preserve">des gouvernements centraux (hautes fonctions de l’exécutif) </w:t>
            </w:r>
          </w:p>
          <w:p w14:paraId="424C173D" w14:textId="77777777" w:rsidR="00697907" w:rsidRPr="00406EBF" w:rsidRDefault="00130B03" w:rsidP="001878CC">
            <w:pPr>
              <w:ind w:left="459" w:right="734"/>
              <w:jc w:val="right"/>
              <w:rPr>
                <w:rFonts w:cstheme="minorHAnsi"/>
                <w:i/>
                <w:color w:val="FFFFFF" w:themeColor="background1"/>
                <w:sz w:val="35"/>
                <w:szCs w:val="35"/>
              </w:rPr>
            </w:pPr>
            <w:r w:rsidRPr="00406EBF">
              <w:rPr>
                <w:rFonts w:eastAsiaTheme="minorEastAsia"/>
                <w:color w:val="FFFFFF" w:themeColor="background1"/>
                <w:sz w:val="27"/>
                <w:szCs w:val="27"/>
                <w:lang w:eastAsia="zh-CN"/>
              </w:rPr>
              <w:t>et des services répressifs</w:t>
            </w:r>
          </w:p>
          <w:p w14:paraId="7C2444EA" w14:textId="77777777" w:rsidR="00697B65" w:rsidRPr="00406EBF" w:rsidRDefault="00697B65" w:rsidP="001878CC">
            <w:pPr>
              <w:ind w:left="459" w:right="734"/>
              <w:jc w:val="right"/>
              <w:rPr>
                <w:rFonts w:cstheme="minorHAnsi"/>
                <w:i/>
                <w:color w:val="FFFFFF" w:themeColor="background1"/>
                <w:sz w:val="35"/>
                <w:szCs w:val="35"/>
              </w:rPr>
            </w:pPr>
          </w:p>
          <w:p w14:paraId="1674C956" w14:textId="77777777" w:rsidR="00683683" w:rsidRPr="00406EBF" w:rsidRDefault="00683683" w:rsidP="001878CC">
            <w:pPr>
              <w:ind w:left="459" w:right="734"/>
              <w:jc w:val="right"/>
              <w:rPr>
                <w:rFonts w:cstheme="minorHAnsi"/>
                <w:i/>
                <w:color w:val="FFFFFF" w:themeColor="background1"/>
                <w:sz w:val="35"/>
                <w:szCs w:val="35"/>
              </w:rPr>
            </w:pPr>
          </w:p>
          <w:p w14:paraId="0F8CC201" w14:textId="1E2FD127" w:rsidR="000D1F3D" w:rsidRDefault="000D1F3D" w:rsidP="001878CC">
            <w:pPr>
              <w:ind w:left="459" w:right="734"/>
              <w:jc w:val="right"/>
              <w:rPr>
                <w:rFonts w:cstheme="minorHAnsi"/>
                <w:b/>
                <w:color w:val="FFFFFF" w:themeColor="background1"/>
                <w:sz w:val="46"/>
                <w:szCs w:val="46"/>
              </w:rPr>
            </w:pPr>
          </w:p>
          <w:p w14:paraId="2B779558" w14:textId="77777777" w:rsidR="00FC301F" w:rsidRPr="00406EBF" w:rsidRDefault="00FC301F" w:rsidP="001878CC">
            <w:pPr>
              <w:ind w:left="459" w:right="734"/>
              <w:jc w:val="right"/>
              <w:rPr>
                <w:rFonts w:cstheme="minorHAnsi"/>
                <w:b/>
                <w:color w:val="FFFFFF" w:themeColor="background1"/>
                <w:sz w:val="46"/>
                <w:szCs w:val="46"/>
              </w:rPr>
            </w:pPr>
          </w:p>
          <w:p w14:paraId="25FB5497" w14:textId="77777777" w:rsidR="00686DF1" w:rsidRPr="00406EBF" w:rsidRDefault="00130B03" w:rsidP="001878CC">
            <w:pPr>
              <w:ind w:left="459" w:right="734"/>
              <w:jc w:val="right"/>
              <w:rPr>
                <w:rFonts w:cstheme="minorHAnsi"/>
                <w:b/>
                <w:color w:val="FFFF99"/>
                <w:sz w:val="46"/>
                <w:szCs w:val="46"/>
              </w:rPr>
            </w:pPr>
            <w:r w:rsidRPr="00406EBF">
              <w:rPr>
                <w:rFonts w:cstheme="minorHAnsi"/>
                <w:b/>
                <w:color w:val="FFFFFF" w:themeColor="background1"/>
                <w:sz w:val="46"/>
                <w:szCs w:val="46"/>
              </w:rPr>
              <w:t>RAPPORT D’</w:t>
            </w:r>
            <w:r w:rsidRPr="00406EBF">
              <w:rPr>
                <w:rFonts w:cstheme="minorHAnsi"/>
                <w:b/>
                <w:bCs/>
                <w:color w:val="FFFFFF" w:themeColor="background1"/>
                <w:sz w:val="46"/>
                <w:szCs w:val="46"/>
              </w:rPr>
              <w:t>É</w:t>
            </w:r>
            <w:r w:rsidRPr="00406EBF">
              <w:rPr>
                <w:rFonts w:cstheme="minorHAnsi"/>
                <w:b/>
                <w:color w:val="FFFFFF" w:themeColor="background1"/>
                <w:sz w:val="46"/>
                <w:szCs w:val="46"/>
              </w:rPr>
              <w:t>VALUATION</w:t>
            </w:r>
          </w:p>
          <w:p w14:paraId="35E8EF7C" w14:textId="77777777" w:rsidR="00764AB6" w:rsidRPr="00406EBF" w:rsidRDefault="00764AB6" w:rsidP="001878CC">
            <w:pPr>
              <w:ind w:left="459" w:right="734"/>
              <w:jc w:val="right"/>
              <w:rPr>
                <w:rFonts w:cstheme="minorHAnsi"/>
                <w:b/>
                <w:color w:val="FFFFFF" w:themeColor="background1"/>
                <w:sz w:val="46"/>
                <w:szCs w:val="46"/>
              </w:rPr>
            </w:pPr>
          </w:p>
          <w:p w14:paraId="44383E97" w14:textId="77777777" w:rsidR="00686DF1" w:rsidRPr="00406EBF" w:rsidRDefault="002415C7" w:rsidP="001878CC">
            <w:pPr>
              <w:ind w:left="459" w:right="734"/>
              <w:jc w:val="right"/>
              <w:rPr>
                <w:rFonts w:cstheme="minorHAnsi"/>
                <w:b/>
                <w:sz w:val="35"/>
                <w:szCs w:val="35"/>
              </w:rPr>
            </w:pPr>
            <w:r w:rsidRPr="00406EBF">
              <w:rPr>
                <w:rFonts w:cstheme="minorHAnsi"/>
                <w:b/>
                <w:color w:val="FBD4B4" w:themeColor="accent6" w:themeTint="66"/>
                <w:sz w:val="92"/>
                <w:szCs w:val="92"/>
              </w:rPr>
              <w:t>BELGIQUE</w:t>
            </w:r>
          </w:p>
          <w:p w14:paraId="3CC5F8D4" w14:textId="77777777" w:rsidR="00686DF1" w:rsidRPr="00406EBF" w:rsidRDefault="00686DF1" w:rsidP="001878CC">
            <w:pPr>
              <w:ind w:left="459" w:right="593"/>
              <w:jc w:val="right"/>
              <w:rPr>
                <w:rFonts w:cstheme="minorHAnsi"/>
                <w:sz w:val="21"/>
                <w:szCs w:val="21"/>
              </w:rPr>
            </w:pPr>
          </w:p>
        </w:tc>
      </w:tr>
      <w:tr w:rsidR="00686DF1" w:rsidRPr="00406EBF" w14:paraId="4F8A2859" w14:textId="77777777" w:rsidTr="00FC301F">
        <w:trPr>
          <w:trHeight w:val="2852"/>
        </w:trPr>
        <w:tc>
          <w:tcPr>
            <w:tcW w:w="2694" w:type="dxa"/>
            <w:shd w:val="clear" w:color="auto" w:fill="17365D" w:themeFill="text2" w:themeFillShade="BF"/>
          </w:tcPr>
          <w:p w14:paraId="7FBB141C" w14:textId="77777777" w:rsidR="00686DF1" w:rsidRPr="00406EBF" w:rsidRDefault="00686DF1" w:rsidP="001878CC">
            <w:pPr>
              <w:rPr>
                <w:rFonts w:cstheme="minorHAnsi"/>
                <w:sz w:val="21"/>
                <w:szCs w:val="21"/>
              </w:rPr>
            </w:pPr>
          </w:p>
        </w:tc>
        <w:tc>
          <w:tcPr>
            <w:tcW w:w="8748" w:type="dxa"/>
            <w:vMerge/>
            <w:shd w:val="clear" w:color="auto" w:fill="365F91" w:themeFill="accent1" w:themeFillShade="BF"/>
          </w:tcPr>
          <w:p w14:paraId="46FF69C9" w14:textId="77777777" w:rsidR="00686DF1" w:rsidRPr="00406EBF" w:rsidRDefault="00686DF1" w:rsidP="001878CC">
            <w:pPr>
              <w:ind w:left="459" w:right="876"/>
              <w:rPr>
                <w:rFonts w:cstheme="minorHAnsi"/>
                <w:sz w:val="21"/>
                <w:szCs w:val="21"/>
              </w:rPr>
            </w:pPr>
          </w:p>
        </w:tc>
      </w:tr>
      <w:tr w:rsidR="00686DF1" w:rsidRPr="00406EBF" w14:paraId="05438D4A" w14:textId="77777777" w:rsidTr="00FC301F">
        <w:trPr>
          <w:trHeight w:val="2862"/>
        </w:trPr>
        <w:tc>
          <w:tcPr>
            <w:tcW w:w="2694" w:type="dxa"/>
            <w:shd w:val="clear" w:color="auto" w:fill="244061" w:themeFill="accent1" w:themeFillShade="80"/>
          </w:tcPr>
          <w:p w14:paraId="023AC07E" w14:textId="77777777" w:rsidR="00686DF1" w:rsidRPr="00406EBF" w:rsidRDefault="00686DF1" w:rsidP="001878CC">
            <w:pPr>
              <w:rPr>
                <w:rFonts w:cstheme="minorHAnsi"/>
                <w:sz w:val="21"/>
                <w:szCs w:val="21"/>
              </w:rPr>
            </w:pPr>
          </w:p>
        </w:tc>
        <w:tc>
          <w:tcPr>
            <w:tcW w:w="8748" w:type="dxa"/>
            <w:vMerge/>
            <w:shd w:val="clear" w:color="auto" w:fill="365F91" w:themeFill="accent1" w:themeFillShade="BF"/>
          </w:tcPr>
          <w:p w14:paraId="22F7534E" w14:textId="77777777" w:rsidR="00686DF1" w:rsidRPr="00406EBF" w:rsidRDefault="00686DF1" w:rsidP="001878CC">
            <w:pPr>
              <w:ind w:left="459" w:right="876"/>
              <w:rPr>
                <w:rFonts w:cstheme="minorHAnsi"/>
                <w:sz w:val="21"/>
                <w:szCs w:val="21"/>
              </w:rPr>
            </w:pPr>
          </w:p>
        </w:tc>
      </w:tr>
      <w:tr w:rsidR="008D5658" w:rsidRPr="00406EBF" w14:paraId="6CA1CBC4" w14:textId="77777777" w:rsidTr="00FC301F">
        <w:tc>
          <w:tcPr>
            <w:tcW w:w="11442" w:type="dxa"/>
            <w:gridSpan w:val="2"/>
            <w:shd w:val="clear" w:color="auto" w:fill="DBE5F1" w:themeFill="accent1" w:themeFillTint="33"/>
          </w:tcPr>
          <w:p w14:paraId="0B9011F9" w14:textId="77777777" w:rsidR="008D5658" w:rsidRPr="00406EBF" w:rsidRDefault="00697907" w:rsidP="001878CC">
            <w:pPr>
              <w:ind w:left="459"/>
              <w:rPr>
                <w:rFonts w:cstheme="minorHAnsi"/>
                <w:sz w:val="21"/>
                <w:szCs w:val="21"/>
              </w:rPr>
            </w:pPr>
            <w:r w:rsidRPr="00406EBF">
              <w:rPr>
                <w:noProof/>
                <w:sz w:val="21"/>
                <w:szCs w:val="21"/>
                <w:lang w:val="en-GB" w:eastAsia="en-GB"/>
              </w:rPr>
              <w:drawing>
                <wp:anchor distT="0" distB="0" distL="114300" distR="114300" simplePos="0" relativeHeight="251656704" behindDoc="0" locked="0" layoutInCell="1" allowOverlap="1" wp14:anchorId="6DFB7B8B" wp14:editId="63BF63ED">
                  <wp:simplePos x="0" y="0"/>
                  <wp:positionH relativeFrom="column">
                    <wp:posOffset>-78740</wp:posOffset>
                  </wp:positionH>
                  <wp:positionV relativeFrom="paragraph">
                    <wp:posOffset>7307</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anchor>
              </w:drawing>
            </w:r>
          </w:p>
          <w:p w14:paraId="310E38E0" w14:textId="77777777" w:rsidR="003B0DF5" w:rsidRPr="00406EBF" w:rsidRDefault="003B0DF5" w:rsidP="001878CC">
            <w:pPr>
              <w:ind w:left="459"/>
              <w:rPr>
                <w:rFonts w:cstheme="minorHAnsi"/>
                <w:sz w:val="21"/>
                <w:szCs w:val="21"/>
              </w:rPr>
            </w:pPr>
          </w:p>
          <w:p w14:paraId="09A8C4CB" w14:textId="77777777" w:rsidR="003B0DF5" w:rsidRPr="00406EBF" w:rsidRDefault="003B0DF5" w:rsidP="001878CC">
            <w:pPr>
              <w:ind w:left="459"/>
              <w:rPr>
                <w:rFonts w:cstheme="minorHAnsi"/>
                <w:sz w:val="21"/>
                <w:szCs w:val="21"/>
              </w:rPr>
            </w:pPr>
          </w:p>
          <w:p w14:paraId="2A9243F0" w14:textId="77777777" w:rsidR="003B0DF5" w:rsidRPr="00406EBF" w:rsidRDefault="003B0DF5" w:rsidP="001878CC">
            <w:pPr>
              <w:ind w:left="459"/>
              <w:rPr>
                <w:rFonts w:cstheme="minorHAnsi"/>
                <w:sz w:val="21"/>
                <w:szCs w:val="21"/>
              </w:rPr>
            </w:pPr>
          </w:p>
          <w:p w14:paraId="48451DC3" w14:textId="77777777" w:rsidR="003B0DF5" w:rsidRPr="00406EBF" w:rsidRDefault="003B0DF5" w:rsidP="001878CC">
            <w:pPr>
              <w:ind w:left="459"/>
              <w:rPr>
                <w:rFonts w:cstheme="minorHAnsi"/>
                <w:sz w:val="21"/>
                <w:szCs w:val="21"/>
              </w:rPr>
            </w:pPr>
          </w:p>
          <w:p w14:paraId="1E9397EF" w14:textId="77777777" w:rsidR="003B0DF5" w:rsidRPr="00406EBF" w:rsidRDefault="003B0DF5" w:rsidP="001878CC">
            <w:pPr>
              <w:ind w:left="459"/>
              <w:rPr>
                <w:rFonts w:cstheme="minorHAnsi"/>
                <w:sz w:val="21"/>
                <w:szCs w:val="21"/>
              </w:rPr>
            </w:pPr>
          </w:p>
          <w:p w14:paraId="1F387A5A" w14:textId="77777777" w:rsidR="003B0DF5" w:rsidRPr="00406EBF" w:rsidRDefault="003B0DF5" w:rsidP="001878CC">
            <w:pPr>
              <w:ind w:left="459"/>
              <w:rPr>
                <w:rFonts w:cstheme="minorHAnsi"/>
                <w:sz w:val="21"/>
                <w:szCs w:val="21"/>
              </w:rPr>
            </w:pPr>
          </w:p>
          <w:p w14:paraId="54BA8FF5" w14:textId="77777777" w:rsidR="003B0DF5" w:rsidRPr="00406EBF" w:rsidRDefault="003B0DF5" w:rsidP="001878CC">
            <w:pPr>
              <w:ind w:left="459"/>
              <w:rPr>
                <w:rFonts w:cstheme="minorHAnsi"/>
                <w:sz w:val="21"/>
                <w:szCs w:val="21"/>
              </w:rPr>
            </w:pPr>
          </w:p>
          <w:p w14:paraId="14318BDD" w14:textId="77777777" w:rsidR="003B0DF5" w:rsidRPr="00406EBF" w:rsidRDefault="003B0DF5" w:rsidP="001878CC">
            <w:pPr>
              <w:ind w:left="459"/>
              <w:rPr>
                <w:rFonts w:cstheme="minorHAnsi"/>
                <w:sz w:val="21"/>
                <w:szCs w:val="21"/>
              </w:rPr>
            </w:pPr>
          </w:p>
          <w:p w14:paraId="4BCF594D" w14:textId="77777777" w:rsidR="003B0DF5" w:rsidRPr="00406EBF" w:rsidRDefault="003B0DF5" w:rsidP="001878CC">
            <w:pPr>
              <w:ind w:left="459"/>
              <w:rPr>
                <w:rFonts w:cstheme="minorHAnsi"/>
                <w:sz w:val="21"/>
                <w:szCs w:val="21"/>
              </w:rPr>
            </w:pPr>
          </w:p>
        </w:tc>
      </w:tr>
      <w:tr w:rsidR="006D6988" w:rsidRPr="00406EBF" w14:paraId="23967AD6" w14:textId="77777777" w:rsidTr="00FC301F">
        <w:tc>
          <w:tcPr>
            <w:tcW w:w="2694" w:type="dxa"/>
          </w:tcPr>
          <w:p w14:paraId="16131485" w14:textId="77777777" w:rsidR="006D6988" w:rsidRPr="00406EBF" w:rsidRDefault="006D6988" w:rsidP="001878CC">
            <w:pPr>
              <w:rPr>
                <w:rFonts w:cstheme="minorHAnsi"/>
                <w:sz w:val="21"/>
                <w:szCs w:val="21"/>
              </w:rPr>
            </w:pPr>
          </w:p>
        </w:tc>
        <w:tc>
          <w:tcPr>
            <w:tcW w:w="8748" w:type="dxa"/>
            <w:shd w:val="clear" w:color="auto" w:fill="auto"/>
          </w:tcPr>
          <w:p w14:paraId="7506DE99" w14:textId="77777777" w:rsidR="006D6988" w:rsidRPr="00406EBF" w:rsidRDefault="006D6988" w:rsidP="001878CC">
            <w:pPr>
              <w:ind w:left="459" w:right="876" w:firstLine="317"/>
              <w:rPr>
                <w:rFonts w:cstheme="minorHAnsi"/>
                <w:sz w:val="21"/>
                <w:szCs w:val="21"/>
              </w:rPr>
            </w:pPr>
          </w:p>
        </w:tc>
      </w:tr>
      <w:tr w:rsidR="00D46E81" w:rsidRPr="00406EBF" w14:paraId="523F58DD" w14:textId="77777777" w:rsidTr="00FC301F">
        <w:tc>
          <w:tcPr>
            <w:tcW w:w="2694" w:type="dxa"/>
            <w:tcBorders>
              <w:right w:val="dashed" w:sz="4" w:space="0" w:color="auto"/>
            </w:tcBorders>
          </w:tcPr>
          <w:p w14:paraId="5EF322E8" w14:textId="77777777" w:rsidR="00D46E81" w:rsidRPr="00406EBF" w:rsidRDefault="00D46E81" w:rsidP="001878CC">
            <w:pPr>
              <w:rPr>
                <w:rFonts w:cstheme="minorHAnsi"/>
                <w:sz w:val="21"/>
                <w:szCs w:val="21"/>
              </w:rPr>
            </w:pPr>
          </w:p>
          <w:p w14:paraId="308EFCD8" w14:textId="77777777" w:rsidR="00D46E81" w:rsidRPr="00406EBF" w:rsidRDefault="00D46E81" w:rsidP="001878CC">
            <w:pPr>
              <w:rPr>
                <w:rFonts w:cstheme="minorHAnsi"/>
                <w:sz w:val="21"/>
                <w:szCs w:val="21"/>
              </w:rPr>
            </w:pPr>
          </w:p>
          <w:p w14:paraId="7886A6C8" w14:textId="77777777" w:rsidR="00D46E81" w:rsidRPr="00406EBF" w:rsidRDefault="00D46E81" w:rsidP="001878CC">
            <w:pPr>
              <w:rPr>
                <w:rFonts w:cstheme="minorHAnsi"/>
                <w:sz w:val="21"/>
                <w:szCs w:val="21"/>
              </w:rPr>
            </w:pPr>
          </w:p>
          <w:p w14:paraId="60B94F53" w14:textId="77777777" w:rsidR="00D46E81" w:rsidRPr="00406EBF" w:rsidRDefault="00D46E81" w:rsidP="001878CC">
            <w:pPr>
              <w:rPr>
                <w:rFonts w:cstheme="minorHAnsi"/>
                <w:sz w:val="21"/>
                <w:szCs w:val="21"/>
              </w:rPr>
            </w:pPr>
          </w:p>
          <w:p w14:paraId="402508FB" w14:textId="77777777" w:rsidR="003B0DF5" w:rsidRPr="00406EBF" w:rsidRDefault="003B0DF5" w:rsidP="001878CC">
            <w:pPr>
              <w:rPr>
                <w:rFonts w:cstheme="minorHAnsi"/>
                <w:sz w:val="21"/>
                <w:szCs w:val="21"/>
              </w:rPr>
            </w:pPr>
          </w:p>
          <w:p w14:paraId="67D65940" w14:textId="77777777" w:rsidR="00D46E81" w:rsidRPr="00406EBF" w:rsidRDefault="00D46E81" w:rsidP="001878CC">
            <w:pPr>
              <w:rPr>
                <w:rFonts w:cstheme="minorHAnsi"/>
                <w:sz w:val="21"/>
                <w:szCs w:val="21"/>
              </w:rPr>
            </w:pPr>
          </w:p>
          <w:p w14:paraId="252AE4D0" w14:textId="77777777" w:rsidR="00D46E81" w:rsidRPr="00406EBF" w:rsidRDefault="00D46E81" w:rsidP="001878CC">
            <w:pPr>
              <w:rPr>
                <w:rFonts w:cstheme="minorHAnsi"/>
                <w:sz w:val="21"/>
                <w:szCs w:val="21"/>
              </w:rPr>
            </w:pPr>
          </w:p>
          <w:p w14:paraId="7998BD00" w14:textId="77777777" w:rsidR="00D46E81" w:rsidRPr="00406EBF" w:rsidRDefault="00D46E81" w:rsidP="001878CC">
            <w:pPr>
              <w:rPr>
                <w:rFonts w:cstheme="minorHAnsi"/>
                <w:sz w:val="21"/>
                <w:szCs w:val="21"/>
              </w:rPr>
            </w:pPr>
          </w:p>
          <w:p w14:paraId="7397A71A" w14:textId="77777777" w:rsidR="00D46E81" w:rsidRPr="00406EBF" w:rsidRDefault="00D46E81" w:rsidP="001878CC">
            <w:pPr>
              <w:rPr>
                <w:rFonts w:cstheme="minorHAnsi"/>
                <w:sz w:val="21"/>
                <w:szCs w:val="21"/>
              </w:rPr>
            </w:pPr>
          </w:p>
        </w:tc>
        <w:tc>
          <w:tcPr>
            <w:tcW w:w="8748" w:type="dxa"/>
            <w:tcBorders>
              <w:left w:val="dashed" w:sz="4" w:space="0" w:color="auto"/>
            </w:tcBorders>
            <w:shd w:val="clear" w:color="auto" w:fill="auto"/>
          </w:tcPr>
          <w:p w14:paraId="1BF28543" w14:textId="77777777" w:rsidR="00D46E81" w:rsidRPr="00406EBF" w:rsidRDefault="00D46E81" w:rsidP="001878CC">
            <w:pPr>
              <w:ind w:left="459" w:right="876"/>
              <w:rPr>
                <w:rFonts w:cstheme="minorHAnsi"/>
                <w:sz w:val="21"/>
                <w:szCs w:val="21"/>
              </w:rPr>
            </w:pPr>
          </w:p>
          <w:p w14:paraId="41EF15B6" w14:textId="77777777" w:rsidR="00894D59" w:rsidRPr="00406EBF" w:rsidRDefault="00894D59" w:rsidP="001878CC">
            <w:pPr>
              <w:ind w:left="459" w:right="876" w:firstLine="317"/>
              <w:rPr>
                <w:rFonts w:cstheme="minorHAnsi"/>
                <w:sz w:val="27"/>
                <w:szCs w:val="27"/>
              </w:rPr>
            </w:pPr>
          </w:p>
          <w:p w14:paraId="0C20ADB4" w14:textId="77777777" w:rsidR="006B5B9C" w:rsidRPr="00406EBF" w:rsidRDefault="006B5B9C" w:rsidP="001878CC">
            <w:pPr>
              <w:ind w:left="459" w:right="876" w:firstLine="317"/>
              <w:rPr>
                <w:rFonts w:cstheme="minorHAnsi"/>
                <w:sz w:val="27"/>
                <w:szCs w:val="27"/>
              </w:rPr>
            </w:pPr>
          </w:p>
          <w:p w14:paraId="5CB489E9" w14:textId="77777777" w:rsidR="00DB1C06" w:rsidRPr="00406EBF" w:rsidRDefault="00DB1C06" w:rsidP="001878CC">
            <w:pPr>
              <w:ind w:left="459" w:right="876" w:firstLine="317"/>
              <w:rPr>
                <w:rFonts w:cstheme="minorHAnsi"/>
                <w:sz w:val="27"/>
                <w:szCs w:val="27"/>
              </w:rPr>
            </w:pPr>
          </w:p>
          <w:p w14:paraId="151BA057" w14:textId="26709DAA" w:rsidR="00764AB6" w:rsidRPr="00406EBF" w:rsidRDefault="008F2D89" w:rsidP="001878CC">
            <w:pPr>
              <w:ind w:left="459" w:right="734" w:firstLine="317"/>
              <w:jc w:val="right"/>
              <w:rPr>
                <w:rFonts w:cstheme="minorHAnsi"/>
                <w:sz w:val="27"/>
                <w:szCs w:val="27"/>
              </w:rPr>
            </w:pPr>
            <w:r>
              <w:rPr>
                <w:rFonts w:cstheme="minorHAnsi"/>
                <w:sz w:val="27"/>
                <w:szCs w:val="27"/>
              </w:rPr>
              <w:t>Adopté</w:t>
            </w:r>
            <w:r w:rsidR="00A45084" w:rsidRPr="00406EBF">
              <w:rPr>
                <w:rFonts w:cstheme="minorHAnsi"/>
                <w:sz w:val="27"/>
                <w:szCs w:val="27"/>
              </w:rPr>
              <w:t xml:space="preserve"> </w:t>
            </w:r>
            <w:r w:rsidR="00130B03" w:rsidRPr="00406EBF">
              <w:rPr>
                <w:rFonts w:cstheme="minorHAnsi"/>
                <w:sz w:val="27"/>
                <w:szCs w:val="27"/>
              </w:rPr>
              <w:t>par le</w:t>
            </w:r>
            <w:r w:rsidR="00683683" w:rsidRPr="00406EBF">
              <w:rPr>
                <w:rFonts w:cstheme="minorHAnsi"/>
                <w:sz w:val="27"/>
                <w:szCs w:val="27"/>
              </w:rPr>
              <w:t xml:space="preserve"> </w:t>
            </w:r>
            <w:r w:rsidR="00764AB6" w:rsidRPr="00406EBF">
              <w:rPr>
                <w:rFonts w:cstheme="minorHAnsi"/>
                <w:sz w:val="27"/>
                <w:szCs w:val="27"/>
              </w:rPr>
              <w:t>GRECO</w:t>
            </w:r>
          </w:p>
          <w:p w14:paraId="5FE2E446" w14:textId="77777777" w:rsidR="005A26E9" w:rsidRPr="00406EBF" w:rsidRDefault="00723552" w:rsidP="001878CC">
            <w:pPr>
              <w:ind w:left="459" w:right="734"/>
              <w:jc w:val="right"/>
              <w:rPr>
                <w:rFonts w:cstheme="minorHAnsi"/>
                <w:sz w:val="19"/>
                <w:szCs w:val="19"/>
              </w:rPr>
            </w:pPr>
            <w:r w:rsidRPr="00406EBF">
              <w:rPr>
                <w:rFonts w:cstheme="minorHAnsi"/>
                <w:sz w:val="27"/>
                <w:szCs w:val="27"/>
              </w:rPr>
              <w:t>l</w:t>
            </w:r>
            <w:r w:rsidR="000D1F3D" w:rsidRPr="00406EBF">
              <w:rPr>
                <w:rFonts w:cstheme="minorHAnsi"/>
                <w:sz w:val="27"/>
                <w:szCs w:val="27"/>
              </w:rPr>
              <w:t>ors de</w:t>
            </w:r>
            <w:r w:rsidR="00130B03" w:rsidRPr="00406EBF">
              <w:rPr>
                <w:rFonts w:cstheme="minorHAnsi"/>
                <w:sz w:val="27"/>
                <w:szCs w:val="27"/>
              </w:rPr>
              <w:t xml:space="preserve"> sa </w:t>
            </w:r>
            <w:r w:rsidR="002415C7" w:rsidRPr="00406EBF">
              <w:rPr>
                <w:rFonts w:cstheme="minorHAnsi"/>
                <w:sz w:val="27"/>
                <w:szCs w:val="27"/>
              </w:rPr>
              <w:t>84e</w:t>
            </w:r>
            <w:r w:rsidR="00635F22" w:rsidRPr="00406EBF">
              <w:rPr>
                <w:rFonts w:cstheme="minorHAnsi"/>
                <w:sz w:val="27"/>
                <w:szCs w:val="27"/>
              </w:rPr>
              <w:t xml:space="preserve"> </w:t>
            </w:r>
            <w:r w:rsidR="00130B03" w:rsidRPr="00406EBF">
              <w:rPr>
                <w:rFonts w:cstheme="minorHAnsi"/>
                <w:sz w:val="27"/>
                <w:szCs w:val="27"/>
              </w:rPr>
              <w:t xml:space="preserve">Réunion </w:t>
            </w:r>
            <w:r w:rsidR="00683683" w:rsidRPr="00406EBF">
              <w:rPr>
                <w:rFonts w:cstheme="minorHAnsi"/>
                <w:sz w:val="27"/>
                <w:szCs w:val="27"/>
              </w:rPr>
              <w:t>Pl</w:t>
            </w:r>
            <w:r w:rsidR="00130B03" w:rsidRPr="00406EBF">
              <w:rPr>
                <w:rFonts w:cstheme="minorHAnsi"/>
                <w:sz w:val="27"/>
                <w:szCs w:val="27"/>
              </w:rPr>
              <w:t>é</w:t>
            </w:r>
            <w:r w:rsidR="00683683" w:rsidRPr="00406EBF">
              <w:rPr>
                <w:rFonts w:cstheme="minorHAnsi"/>
                <w:sz w:val="27"/>
                <w:szCs w:val="27"/>
              </w:rPr>
              <w:t>n</w:t>
            </w:r>
            <w:r w:rsidR="00130B03" w:rsidRPr="00406EBF">
              <w:rPr>
                <w:rFonts w:cstheme="minorHAnsi"/>
                <w:sz w:val="27"/>
                <w:szCs w:val="27"/>
              </w:rPr>
              <w:t>ière</w:t>
            </w:r>
            <w:r w:rsidR="00683683" w:rsidRPr="00406EBF">
              <w:rPr>
                <w:rFonts w:cstheme="minorHAnsi"/>
                <w:sz w:val="27"/>
                <w:szCs w:val="27"/>
              </w:rPr>
              <w:t xml:space="preserve"> (Strasbourg, </w:t>
            </w:r>
            <w:r w:rsidR="002415C7" w:rsidRPr="00406EBF">
              <w:rPr>
                <w:rFonts w:cstheme="minorHAnsi"/>
                <w:sz w:val="27"/>
                <w:szCs w:val="27"/>
              </w:rPr>
              <w:t>2-6 décembre 2019</w:t>
            </w:r>
            <w:r w:rsidR="00130B03" w:rsidRPr="00406EBF">
              <w:rPr>
                <w:rFonts w:cstheme="minorHAnsi"/>
                <w:sz w:val="27"/>
                <w:szCs w:val="27"/>
              </w:rPr>
              <w:t xml:space="preserve">) </w:t>
            </w:r>
          </w:p>
          <w:p w14:paraId="1E5C33E3" w14:textId="77777777" w:rsidR="002E2112" w:rsidRPr="00406EBF" w:rsidRDefault="002E2112" w:rsidP="001878CC">
            <w:pPr>
              <w:ind w:left="459" w:right="876" w:firstLine="317"/>
              <w:rPr>
                <w:rFonts w:cstheme="minorHAnsi"/>
                <w:sz w:val="21"/>
                <w:szCs w:val="21"/>
              </w:rPr>
            </w:pPr>
          </w:p>
        </w:tc>
      </w:tr>
    </w:tbl>
    <w:p w14:paraId="63410879" w14:textId="77777777" w:rsidR="00D46E81" w:rsidRPr="00406EBF" w:rsidRDefault="006D5909" w:rsidP="001878CC">
      <w:pPr>
        <w:tabs>
          <w:tab w:val="left" w:pos="10773"/>
        </w:tabs>
        <w:rPr>
          <w:rFonts w:cstheme="minorHAnsi"/>
          <w:sz w:val="21"/>
          <w:szCs w:val="21"/>
        </w:rPr>
      </w:pPr>
      <w:r w:rsidRPr="00406EBF">
        <w:rPr>
          <w:b/>
          <w:noProof/>
          <w:sz w:val="31"/>
          <w:szCs w:val="31"/>
          <w:lang w:val="en-GB" w:eastAsia="en-GB"/>
        </w:rPr>
        <w:drawing>
          <wp:anchor distT="0" distB="0" distL="114300" distR="114300" simplePos="0" relativeHeight="251657728" behindDoc="1" locked="0" layoutInCell="1" allowOverlap="1" wp14:anchorId="4069729C" wp14:editId="285E99A6">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rsidR="00D46E81" w:rsidRPr="00406EBF">
        <w:rPr>
          <w:rFonts w:cstheme="minorHAnsi"/>
          <w:sz w:val="21"/>
          <w:szCs w:val="21"/>
        </w:rPr>
        <w:br w:type="page"/>
      </w:r>
    </w:p>
    <w:p w14:paraId="50EF0344" w14:textId="77777777" w:rsidR="005F619A" w:rsidRPr="00406EBF" w:rsidRDefault="005F619A" w:rsidP="001878CC">
      <w:pPr>
        <w:pStyle w:val="Titre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0F243E" w:themeColor="text2" w:themeShade="80"/>
          <w:sz w:val="21"/>
          <w:szCs w:val="21"/>
        </w:rPr>
        <w:sectPr w:rsidR="005F619A" w:rsidRPr="00406EBF">
          <w:footerReference w:type="default" r:id="rId20"/>
          <w:pgSz w:w="11906" w:h="16838" w:code="9"/>
          <w:pgMar w:top="142" w:right="232" w:bottom="21" w:left="232" w:header="567" w:footer="0" w:gutter="0"/>
          <w:cols w:space="708"/>
          <w:titlePg/>
          <w:docGrid w:linePitch="360"/>
        </w:sectPr>
      </w:pPr>
    </w:p>
    <w:bookmarkStart w:id="1" w:name="_Toc345583901" w:displacedByCustomXml="next"/>
    <w:bookmarkStart w:id="2" w:name="_Toc345583978" w:displacedByCustomXml="next"/>
    <w:bookmarkStart w:id="3" w:name="_Toc348617111" w:displacedByCustomXml="next"/>
    <w:sdt>
      <w:sdtPr>
        <w:rPr>
          <w:rFonts w:ascii="Calibri" w:eastAsia="Times New Roman" w:hAnsi="Calibri" w:cstheme="minorHAnsi"/>
          <w:i/>
          <w:iCs/>
          <w:noProof/>
          <w:sz w:val="19"/>
          <w:szCs w:val="19"/>
          <w:lang w:val="en-GB" w:eastAsia="fr-FR"/>
        </w:rPr>
        <w:id w:val="-1046760254"/>
        <w:docPartObj>
          <w:docPartGallery w:val="Table of Contents"/>
          <w:docPartUnique/>
        </w:docPartObj>
      </w:sdtPr>
      <w:sdtEndPr/>
      <w:sdtContent>
        <w:p w14:paraId="7C5D2476" w14:textId="77777777" w:rsidR="00FB38AB" w:rsidRPr="00406EBF" w:rsidRDefault="00130B03" w:rsidP="001878CC">
          <w:pPr>
            <w:ind w:right="423"/>
            <w:jc w:val="center"/>
            <w:rPr>
              <w:rFonts w:eastAsia="Times New Roman"/>
              <w:b/>
              <w:noProof/>
              <w:snapToGrid w:val="0"/>
              <w:sz w:val="19"/>
              <w:szCs w:val="19"/>
              <w:lang w:eastAsia="fr-FR"/>
            </w:rPr>
          </w:pPr>
          <w:r w:rsidRPr="00406EBF">
            <w:rPr>
              <w:rFonts w:eastAsia="Times New Roman" w:cstheme="minorHAnsi"/>
              <w:b/>
              <w:noProof/>
              <w:snapToGrid w:val="0"/>
              <w:sz w:val="19"/>
              <w:szCs w:val="19"/>
              <w:lang w:eastAsia="fr-FR"/>
            </w:rPr>
            <w:t>TABLE DES MATI</w:t>
          </w:r>
          <w:r w:rsidRPr="00406EBF">
            <w:rPr>
              <w:rFonts w:cstheme="minorHAnsi"/>
              <w:b/>
              <w:smallCaps/>
              <w:sz w:val="19"/>
              <w:szCs w:val="19"/>
            </w:rPr>
            <w:t>È</w:t>
          </w:r>
          <w:r w:rsidRPr="00406EBF">
            <w:rPr>
              <w:rFonts w:eastAsia="Times New Roman" w:cstheme="minorHAnsi"/>
              <w:b/>
              <w:noProof/>
              <w:snapToGrid w:val="0"/>
              <w:sz w:val="19"/>
              <w:szCs w:val="19"/>
              <w:lang w:eastAsia="fr-FR"/>
            </w:rPr>
            <w:t>RES</w:t>
          </w:r>
        </w:p>
        <w:p w14:paraId="1C4CBE20" w14:textId="77777777" w:rsidR="00FB38AB" w:rsidRPr="00406EBF" w:rsidRDefault="00FB38AB" w:rsidP="001878CC">
          <w:pPr>
            <w:tabs>
              <w:tab w:val="left" w:pos="709"/>
            </w:tabs>
            <w:jc w:val="center"/>
            <w:rPr>
              <w:rFonts w:cstheme="minorHAnsi"/>
              <w:sz w:val="19"/>
              <w:szCs w:val="19"/>
            </w:rPr>
          </w:pPr>
        </w:p>
        <w:p w14:paraId="4726A3D2" w14:textId="6BF40E4C" w:rsidR="003F2FAD" w:rsidRPr="00406EBF" w:rsidRDefault="00714ED8">
          <w:pPr>
            <w:pStyle w:val="TM1"/>
            <w:rPr>
              <w:rFonts w:asciiTheme="minorHAnsi" w:eastAsiaTheme="minorEastAsia" w:hAnsiTheme="minorHAnsi" w:cstheme="minorBidi"/>
              <w:b w:val="0"/>
              <w:bCs w:val="0"/>
              <w:iCs w:val="0"/>
              <w:caps w:val="0"/>
              <w:sz w:val="21"/>
              <w:szCs w:val="21"/>
            </w:rPr>
          </w:pPr>
          <w:r w:rsidRPr="00406EBF">
            <w:rPr>
              <w:rFonts w:asciiTheme="minorHAnsi" w:hAnsiTheme="minorHAnsi"/>
              <w:sz w:val="19"/>
              <w:szCs w:val="19"/>
            </w:rPr>
            <w:fldChar w:fldCharType="begin"/>
          </w:r>
          <w:r w:rsidR="00FB38AB" w:rsidRPr="00406EBF">
            <w:rPr>
              <w:rFonts w:asciiTheme="minorHAnsi" w:hAnsiTheme="minorHAnsi"/>
              <w:sz w:val="19"/>
              <w:szCs w:val="19"/>
            </w:rPr>
            <w:instrText xml:space="preserve"> TOC \o "1-3" \h \z \u </w:instrText>
          </w:r>
          <w:r w:rsidRPr="00406EBF">
            <w:rPr>
              <w:rFonts w:asciiTheme="minorHAnsi" w:hAnsiTheme="minorHAnsi"/>
              <w:sz w:val="19"/>
              <w:szCs w:val="19"/>
            </w:rPr>
            <w:fldChar w:fldCharType="separate"/>
          </w:r>
          <w:hyperlink w:anchor="_Toc21339549" w:history="1">
            <w:r w:rsidR="003F2FAD" w:rsidRPr="00406EBF">
              <w:rPr>
                <w:rStyle w:val="Lienhypertexte"/>
                <w:sz w:val="19"/>
                <w:szCs w:val="19"/>
              </w:rPr>
              <w:t>I.</w:t>
            </w:r>
            <w:r w:rsidR="003F2FAD" w:rsidRPr="00406EBF">
              <w:rPr>
                <w:rFonts w:asciiTheme="minorHAnsi" w:eastAsiaTheme="minorEastAsia" w:hAnsiTheme="minorHAnsi" w:cstheme="minorBidi"/>
                <w:b w:val="0"/>
                <w:bCs w:val="0"/>
                <w:iCs w:val="0"/>
                <w:caps w:val="0"/>
                <w:sz w:val="21"/>
                <w:szCs w:val="21"/>
              </w:rPr>
              <w:tab/>
            </w:r>
            <w:r w:rsidR="003F2FAD" w:rsidRPr="00406EBF">
              <w:rPr>
                <w:rStyle w:val="Lienhypertexte"/>
                <w:sz w:val="19"/>
                <w:szCs w:val="19"/>
              </w:rPr>
              <w:t>RÉSUMÉ ANALYTIQUE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_Toc21339549 \h </w:instrText>
            </w:r>
            <w:r w:rsidR="003F2FAD" w:rsidRPr="00406EBF">
              <w:rPr>
                <w:webHidden/>
                <w:sz w:val="19"/>
                <w:szCs w:val="19"/>
              </w:rPr>
            </w:r>
            <w:r w:rsidR="003F2FAD" w:rsidRPr="00406EBF">
              <w:rPr>
                <w:webHidden/>
                <w:sz w:val="19"/>
                <w:szCs w:val="19"/>
              </w:rPr>
              <w:fldChar w:fldCharType="separate"/>
            </w:r>
            <w:r w:rsidR="000B25FF">
              <w:rPr>
                <w:webHidden/>
                <w:sz w:val="19"/>
                <w:szCs w:val="19"/>
              </w:rPr>
              <w:t>4</w:t>
            </w:r>
            <w:r w:rsidR="003F2FAD" w:rsidRPr="00406EBF">
              <w:rPr>
                <w:webHidden/>
                <w:sz w:val="19"/>
                <w:szCs w:val="19"/>
              </w:rPr>
              <w:fldChar w:fldCharType="end"/>
            </w:r>
          </w:hyperlink>
        </w:p>
        <w:p w14:paraId="30679318" w14:textId="1A93359B" w:rsidR="003F2FAD" w:rsidRPr="00406EBF" w:rsidRDefault="007E6083">
          <w:pPr>
            <w:pStyle w:val="TM1"/>
            <w:rPr>
              <w:rFonts w:asciiTheme="minorHAnsi" w:eastAsiaTheme="minorEastAsia" w:hAnsiTheme="minorHAnsi" w:cstheme="minorBidi"/>
              <w:b w:val="0"/>
              <w:bCs w:val="0"/>
              <w:iCs w:val="0"/>
              <w:caps w:val="0"/>
              <w:sz w:val="21"/>
              <w:szCs w:val="21"/>
            </w:rPr>
          </w:pPr>
          <w:hyperlink w:anchor="_Toc21339550" w:history="1">
            <w:r w:rsidR="003F2FAD" w:rsidRPr="00406EBF">
              <w:rPr>
                <w:rStyle w:val="Lienhypertexte"/>
                <w:sz w:val="19"/>
                <w:szCs w:val="19"/>
              </w:rPr>
              <w:t>II.</w:t>
            </w:r>
            <w:r w:rsidR="003F2FAD" w:rsidRPr="00406EBF">
              <w:rPr>
                <w:rFonts w:asciiTheme="minorHAnsi" w:eastAsiaTheme="minorEastAsia" w:hAnsiTheme="minorHAnsi" w:cstheme="minorBidi"/>
                <w:b w:val="0"/>
                <w:bCs w:val="0"/>
                <w:iCs w:val="0"/>
                <w:caps w:val="0"/>
                <w:sz w:val="21"/>
                <w:szCs w:val="21"/>
              </w:rPr>
              <w:tab/>
            </w:r>
            <w:r w:rsidR="003F2FAD" w:rsidRPr="00406EBF">
              <w:rPr>
                <w:rStyle w:val="Lienhypertexte"/>
                <w:sz w:val="19"/>
                <w:szCs w:val="19"/>
              </w:rPr>
              <w:t>INTRODUCTION ET MÉTHODOLOGIE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_Toc21339550 \h </w:instrText>
            </w:r>
            <w:r w:rsidR="003F2FAD" w:rsidRPr="00406EBF">
              <w:rPr>
                <w:webHidden/>
                <w:sz w:val="19"/>
                <w:szCs w:val="19"/>
              </w:rPr>
            </w:r>
            <w:r w:rsidR="003F2FAD" w:rsidRPr="00406EBF">
              <w:rPr>
                <w:webHidden/>
                <w:sz w:val="19"/>
                <w:szCs w:val="19"/>
              </w:rPr>
              <w:fldChar w:fldCharType="separate"/>
            </w:r>
            <w:r w:rsidR="000B25FF">
              <w:rPr>
                <w:webHidden/>
                <w:sz w:val="19"/>
                <w:szCs w:val="19"/>
              </w:rPr>
              <w:t>5</w:t>
            </w:r>
            <w:r w:rsidR="003F2FAD" w:rsidRPr="00406EBF">
              <w:rPr>
                <w:webHidden/>
                <w:sz w:val="19"/>
                <w:szCs w:val="19"/>
              </w:rPr>
              <w:fldChar w:fldCharType="end"/>
            </w:r>
          </w:hyperlink>
        </w:p>
        <w:p w14:paraId="1082D777" w14:textId="67969317" w:rsidR="003F2FAD" w:rsidRPr="00406EBF" w:rsidRDefault="007E6083">
          <w:pPr>
            <w:pStyle w:val="TM1"/>
            <w:rPr>
              <w:rFonts w:asciiTheme="minorHAnsi" w:eastAsiaTheme="minorEastAsia" w:hAnsiTheme="minorHAnsi" w:cstheme="minorBidi"/>
              <w:b w:val="0"/>
              <w:bCs w:val="0"/>
              <w:iCs w:val="0"/>
              <w:caps w:val="0"/>
              <w:sz w:val="21"/>
              <w:szCs w:val="21"/>
            </w:rPr>
          </w:pPr>
          <w:hyperlink w:anchor="_Toc21339551" w:history="1">
            <w:r w:rsidR="003F2FAD" w:rsidRPr="00406EBF">
              <w:rPr>
                <w:rStyle w:val="Lienhypertexte"/>
                <w:sz w:val="19"/>
                <w:szCs w:val="19"/>
              </w:rPr>
              <w:t>III.</w:t>
            </w:r>
            <w:r w:rsidR="003F2FAD" w:rsidRPr="00406EBF">
              <w:rPr>
                <w:rFonts w:asciiTheme="minorHAnsi" w:eastAsiaTheme="minorEastAsia" w:hAnsiTheme="minorHAnsi" w:cstheme="minorBidi"/>
                <w:b w:val="0"/>
                <w:bCs w:val="0"/>
                <w:iCs w:val="0"/>
                <w:caps w:val="0"/>
                <w:sz w:val="21"/>
                <w:szCs w:val="21"/>
              </w:rPr>
              <w:tab/>
            </w:r>
            <w:r w:rsidR="003F2FAD" w:rsidRPr="00406EBF">
              <w:rPr>
                <w:rStyle w:val="Lienhypertexte"/>
                <w:sz w:val="19"/>
                <w:szCs w:val="19"/>
              </w:rPr>
              <w:t>CONTEXTE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_Toc21339551 \h </w:instrText>
            </w:r>
            <w:r w:rsidR="003F2FAD" w:rsidRPr="00406EBF">
              <w:rPr>
                <w:webHidden/>
                <w:sz w:val="19"/>
                <w:szCs w:val="19"/>
              </w:rPr>
            </w:r>
            <w:r w:rsidR="003F2FAD" w:rsidRPr="00406EBF">
              <w:rPr>
                <w:webHidden/>
                <w:sz w:val="19"/>
                <w:szCs w:val="19"/>
              </w:rPr>
              <w:fldChar w:fldCharType="separate"/>
            </w:r>
            <w:r w:rsidR="000B25FF">
              <w:rPr>
                <w:webHidden/>
                <w:sz w:val="19"/>
                <w:szCs w:val="19"/>
              </w:rPr>
              <w:t>6</w:t>
            </w:r>
            <w:r w:rsidR="003F2FAD" w:rsidRPr="00406EBF">
              <w:rPr>
                <w:webHidden/>
                <w:sz w:val="19"/>
                <w:szCs w:val="19"/>
              </w:rPr>
              <w:fldChar w:fldCharType="end"/>
            </w:r>
          </w:hyperlink>
        </w:p>
        <w:p w14:paraId="0690983F" w14:textId="08C32E6F" w:rsidR="003F2FAD" w:rsidRPr="00406EBF" w:rsidRDefault="007E6083">
          <w:pPr>
            <w:pStyle w:val="TM1"/>
            <w:rPr>
              <w:rFonts w:asciiTheme="minorHAnsi" w:eastAsiaTheme="minorEastAsia" w:hAnsiTheme="minorHAnsi" w:cstheme="minorBidi"/>
              <w:b w:val="0"/>
              <w:bCs w:val="0"/>
              <w:iCs w:val="0"/>
              <w:caps w:val="0"/>
              <w:sz w:val="21"/>
              <w:szCs w:val="21"/>
            </w:rPr>
          </w:pPr>
          <w:hyperlink w:anchor="_Toc21339552" w:history="1">
            <w:r w:rsidR="003F2FAD" w:rsidRPr="00406EBF">
              <w:rPr>
                <w:rStyle w:val="Lienhypertexte"/>
                <w:sz w:val="19"/>
                <w:szCs w:val="19"/>
              </w:rPr>
              <w:t>IV.</w:t>
            </w:r>
            <w:r w:rsidR="003F2FAD" w:rsidRPr="00406EBF">
              <w:rPr>
                <w:rFonts w:asciiTheme="minorHAnsi" w:eastAsiaTheme="minorEastAsia" w:hAnsiTheme="minorHAnsi" w:cstheme="minorBidi"/>
                <w:b w:val="0"/>
                <w:bCs w:val="0"/>
                <w:iCs w:val="0"/>
                <w:caps w:val="0"/>
                <w:sz w:val="21"/>
                <w:szCs w:val="21"/>
              </w:rPr>
              <w:tab/>
            </w:r>
            <w:r w:rsidR="003F2FAD" w:rsidRPr="00406EBF">
              <w:rPr>
                <w:rStyle w:val="Lienhypertexte"/>
                <w:sz w:val="19"/>
                <w:szCs w:val="19"/>
              </w:rPr>
              <w:t>PRÉVENTION DE LA CORRUPTION AU SEIN DES GOUVERNEMENTS CENTRAUX (HAUTES FONCTIONS DE L’EXÉCUTIF)</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_Toc21339552 \h </w:instrText>
            </w:r>
            <w:r w:rsidR="003F2FAD" w:rsidRPr="00406EBF">
              <w:rPr>
                <w:webHidden/>
                <w:sz w:val="19"/>
                <w:szCs w:val="19"/>
              </w:rPr>
            </w:r>
            <w:r w:rsidR="003F2FAD" w:rsidRPr="00406EBF">
              <w:rPr>
                <w:webHidden/>
                <w:sz w:val="19"/>
                <w:szCs w:val="19"/>
              </w:rPr>
              <w:fldChar w:fldCharType="separate"/>
            </w:r>
            <w:r w:rsidR="000B25FF">
              <w:rPr>
                <w:webHidden/>
                <w:sz w:val="19"/>
                <w:szCs w:val="19"/>
              </w:rPr>
              <w:t>8</w:t>
            </w:r>
            <w:r w:rsidR="003F2FAD" w:rsidRPr="00406EBF">
              <w:rPr>
                <w:webHidden/>
                <w:sz w:val="19"/>
                <w:szCs w:val="19"/>
              </w:rPr>
              <w:fldChar w:fldCharType="end"/>
            </w:r>
          </w:hyperlink>
        </w:p>
        <w:p w14:paraId="742D5C36" w14:textId="1BAF28C2"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53" w:history="1">
            <w:r w:rsidR="003F2FAD" w:rsidRPr="00406EBF">
              <w:rPr>
                <w:rStyle w:val="Lienhypertexte"/>
                <w:noProof/>
                <w:sz w:val="19"/>
                <w:szCs w:val="19"/>
              </w:rPr>
              <w:t>Système de gouvernement et hautes fonctions de l’exécutif</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_Toc21339553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8</w:t>
            </w:r>
            <w:r w:rsidR="003F2FAD" w:rsidRPr="00406EBF">
              <w:rPr>
                <w:noProof/>
                <w:webHidden/>
                <w:sz w:val="19"/>
                <w:szCs w:val="19"/>
              </w:rPr>
              <w:fldChar w:fldCharType="end"/>
            </w:r>
          </w:hyperlink>
        </w:p>
        <w:p w14:paraId="0B376DB8" w14:textId="157E8F37" w:rsidR="003F2FAD" w:rsidRPr="00406EBF" w:rsidRDefault="007E6083">
          <w:pPr>
            <w:pStyle w:val="TM3"/>
            <w:rPr>
              <w:rFonts w:asciiTheme="minorHAnsi" w:eastAsiaTheme="minorEastAsia" w:hAnsiTheme="minorHAnsi" w:cstheme="minorBidi"/>
              <w:i w:val="0"/>
              <w:iCs w:val="0"/>
              <w:sz w:val="21"/>
              <w:szCs w:val="21"/>
              <w:lang w:val="fr-FR"/>
            </w:rPr>
          </w:pPr>
          <w:hyperlink w:anchor="_Toc21339554" w:history="1">
            <w:r w:rsidR="003F2FAD" w:rsidRPr="00406EBF">
              <w:rPr>
                <w:rStyle w:val="Lienhypertexte"/>
                <w:sz w:val="19"/>
                <w:szCs w:val="19"/>
              </w:rPr>
              <w:t>Système de gouvernement</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_Toc21339554 \h </w:instrText>
            </w:r>
            <w:r w:rsidR="003F2FAD" w:rsidRPr="00406EBF">
              <w:rPr>
                <w:webHidden/>
                <w:sz w:val="19"/>
                <w:szCs w:val="19"/>
              </w:rPr>
            </w:r>
            <w:r w:rsidR="003F2FAD" w:rsidRPr="00406EBF">
              <w:rPr>
                <w:webHidden/>
                <w:sz w:val="19"/>
                <w:szCs w:val="19"/>
              </w:rPr>
              <w:fldChar w:fldCharType="separate"/>
            </w:r>
            <w:r w:rsidR="000B25FF">
              <w:rPr>
                <w:webHidden/>
                <w:sz w:val="19"/>
                <w:szCs w:val="19"/>
              </w:rPr>
              <w:t>8</w:t>
            </w:r>
            <w:r w:rsidR="003F2FAD" w:rsidRPr="00406EBF">
              <w:rPr>
                <w:webHidden/>
                <w:sz w:val="19"/>
                <w:szCs w:val="19"/>
              </w:rPr>
              <w:fldChar w:fldCharType="end"/>
            </w:r>
          </w:hyperlink>
        </w:p>
        <w:p w14:paraId="6878E71C" w14:textId="7D6D1F86" w:rsidR="003F2FAD" w:rsidRPr="00406EBF" w:rsidRDefault="007E6083">
          <w:pPr>
            <w:pStyle w:val="TM3"/>
            <w:rPr>
              <w:rFonts w:asciiTheme="minorHAnsi" w:eastAsiaTheme="minorEastAsia" w:hAnsiTheme="minorHAnsi" w:cstheme="minorBidi"/>
              <w:i w:val="0"/>
              <w:iCs w:val="0"/>
              <w:sz w:val="21"/>
              <w:szCs w:val="21"/>
              <w:lang w:val="fr-FR"/>
            </w:rPr>
          </w:pPr>
          <w:hyperlink w:anchor="_Toc21339555" w:history="1">
            <w:r w:rsidR="003F2FAD" w:rsidRPr="00406EBF">
              <w:rPr>
                <w:rStyle w:val="Lienhypertexte"/>
                <w:sz w:val="19"/>
                <w:szCs w:val="19"/>
              </w:rPr>
              <w:t>Statut et rémunération des personnes occupant de hautes fonctions de l’exécutif au niveau national</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_Toc21339555 \h </w:instrText>
            </w:r>
            <w:r w:rsidR="003F2FAD" w:rsidRPr="00406EBF">
              <w:rPr>
                <w:webHidden/>
                <w:sz w:val="19"/>
                <w:szCs w:val="19"/>
              </w:rPr>
            </w:r>
            <w:r w:rsidR="003F2FAD" w:rsidRPr="00406EBF">
              <w:rPr>
                <w:webHidden/>
                <w:sz w:val="19"/>
                <w:szCs w:val="19"/>
              </w:rPr>
              <w:fldChar w:fldCharType="separate"/>
            </w:r>
            <w:r w:rsidR="000B25FF">
              <w:rPr>
                <w:webHidden/>
                <w:sz w:val="19"/>
                <w:szCs w:val="19"/>
              </w:rPr>
              <w:t>9</w:t>
            </w:r>
            <w:r w:rsidR="003F2FAD" w:rsidRPr="00406EBF">
              <w:rPr>
                <w:webHidden/>
                <w:sz w:val="19"/>
                <w:szCs w:val="19"/>
              </w:rPr>
              <w:fldChar w:fldCharType="end"/>
            </w:r>
          </w:hyperlink>
        </w:p>
        <w:p w14:paraId="01471104" w14:textId="7B5AFFBA"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56" w:history="1">
            <w:r w:rsidR="003F2FAD" w:rsidRPr="00406EBF">
              <w:rPr>
                <w:rStyle w:val="Lienhypertexte"/>
                <w:noProof/>
                <w:sz w:val="19"/>
                <w:szCs w:val="19"/>
              </w:rPr>
              <w:t>Politique anticorruption et d'intégrité, cadre réglementaire et institutionnel</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_Toc21339556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12</w:t>
            </w:r>
            <w:r w:rsidR="003F2FAD" w:rsidRPr="00406EBF">
              <w:rPr>
                <w:noProof/>
                <w:webHidden/>
                <w:sz w:val="19"/>
                <w:szCs w:val="19"/>
              </w:rPr>
              <w:fldChar w:fldCharType="end"/>
            </w:r>
          </w:hyperlink>
        </w:p>
        <w:p w14:paraId="1E6472E3" w14:textId="50DBD9D1" w:rsidR="003F2FAD" w:rsidRPr="00406EBF" w:rsidRDefault="007E6083">
          <w:pPr>
            <w:pStyle w:val="TM3"/>
            <w:rPr>
              <w:rFonts w:asciiTheme="minorHAnsi" w:eastAsiaTheme="minorEastAsia" w:hAnsiTheme="minorHAnsi" w:cstheme="minorBidi"/>
              <w:i w:val="0"/>
              <w:iCs w:val="0"/>
              <w:sz w:val="21"/>
              <w:szCs w:val="21"/>
              <w:lang w:val="fr-FR"/>
            </w:rPr>
          </w:pPr>
          <w:hyperlink w:anchor="_Toc21339557" w:history="1">
            <w:r w:rsidR="003F2FAD" w:rsidRPr="00406EBF">
              <w:rPr>
                <w:rStyle w:val="Lienhypertexte"/>
                <w:sz w:val="19"/>
                <w:szCs w:val="19"/>
              </w:rPr>
              <w:t>Politique anticorruption et d'intégrité</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_Toc21339557 \h </w:instrText>
            </w:r>
            <w:r w:rsidR="003F2FAD" w:rsidRPr="00406EBF">
              <w:rPr>
                <w:webHidden/>
                <w:sz w:val="19"/>
                <w:szCs w:val="19"/>
              </w:rPr>
            </w:r>
            <w:r w:rsidR="003F2FAD" w:rsidRPr="00406EBF">
              <w:rPr>
                <w:webHidden/>
                <w:sz w:val="19"/>
                <w:szCs w:val="19"/>
              </w:rPr>
              <w:fldChar w:fldCharType="separate"/>
            </w:r>
            <w:r w:rsidR="000B25FF">
              <w:rPr>
                <w:webHidden/>
                <w:sz w:val="19"/>
                <w:szCs w:val="19"/>
              </w:rPr>
              <w:t>12</w:t>
            </w:r>
            <w:r w:rsidR="003F2FAD" w:rsidRPr="00406EBF">
              <w:rPr>
                <w:webHidden/>
                <w:sz w:val="19"/>
                <w:szCs w:val="19"/>
              </w:rPr>
              <w:fldChar w:fldCharType="end"/>
            </w:r>
          </w:hyperlink>
        </w:p>
        <w:p w14:paraId="0E983D4B" w14:textId="3E780DB3" w:rsidR="003F2FAD" w:rsidRPr="00406EBF" w:rsidRDefault="007E6083">
          <w:pPr>
            <w:pStyle w:val="TM3"/>
            <w:rPr>
              <w:rFonts w:asciiTheme="minorHAnsi" w:eastAsiaTheme="minorEastAsia" w:hAnsiTheme="minorHAnsi" w:cstheme="minorBidi"/>
              <w:i w:val="0"/>
              <w:iCs w:val="0"/>
              <w:sz w:val="21"/>
              <w:szCs w:val="21"/>
              <w:lang w:val="fr-FR"/>
            </w:rPr>
          </w:pPr>
          <w:hyperlink w:anchor="_Toc21339558" w:history="1">
            <w:r w:rsidR="003F2FAD" w:rsidRPr="00406EBF">
              <w:rPr>
                <w:rStyle w:val="Lienhypertexte"/>
                <w:sz w:val="19"/>
                <w:szCs w:val="19"/>
              </w:rPr>
              <w:t>Cadre réglementaire et code de déontologie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_Toc21339558 \h </w:instrText>
            </w:r>
            <w:r w:rsidR="003F2FAD" w:rsidRPr="00406EBF">
              <w:rPr>
                <w:webHidden/>
                <w:sz w:val="19"/>
                <w:szCs w:val="19"/>
              </w:rPr>
            </w:r>
            <w:r w:rsidR="003F2FAD" w:rsidRPr="00406EBF">
              <w:rPr>
                <w:webHidden/>
                <w:sz w:val="19"/>
                <w:szCs w:val="19"/>
              </w:rPr>
              <w:fldChar w:fldCharType="separate"/>
            </w:r>
            <w:r w:rsidR="000B25FF">
              <w:rPr>
                <w:webHidden/>
                <w:sz w:val="19"/>
                <w:szCs w:val="19"/>
              </w:rPr>
              <w:t>13</w:t>
            </w:r>
            <w:r w:rsidR="003F2FAD" w:rsidRPr="00406EBF">
              <w:rPr>
                <w:webHidden/>
                <w:sz w:val="19"/>
                <w:szCs w:val="19"/>
              </w:rPr>
              <w:fldChar w:fldCharType="end"/>
            </w:r>
          </w:hyperlink>
        </w:p>
        <w:p w14:paraId="01742886" w14:textId="3BA79695" w:rsidR="003F2FAD" w:rsidRPr="00406EBF" w:rsidRDefault="007E6083">
          <w:pPr>
            <w:pStyle w:val="TM3"/>
            <w:rPr>
              <w:rFonts w:asciiTheme="minorHAnsi" w:eastAsiaTheme="minorEastAsia" w:hAnsiTheme="minorHAnsi" w:cstheme="minorBidi"/>
              <w:i w:val="0"/>
              <w:iCs w:val="0"/>
              <w:sz w:val="21"/>
              <w:szCs w:val="21"/>
              <w:lang w:val="fr-FR"/>
            </w:rPr>
          </w:pPr>
          <w:hyperlink w:anchor="_Toc21339559" w:history="1">
            <w:r w:rsidR="003F2FAD" w:rsidRPr="00406EBF">
              <w:rPr>
                <w:rStyle w:val="Lienhypertexte"/>
                <w:sz w:val="19"/>
                <w:szCs w:val="19"/>
              </w:rPr>
              <w:t>Sensibilisation</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_Toc21339559 \h </w:instrText>
            </w:r>
            <w:r w:rsidR="003F2FAD" w:rsidRPr="00406EBF">
              <w:rPr>
                <w:webHidden/>
                <w:sz w:val="19"/>
                <w:szCs w:val="19"/>
              </w:rPr>
            </w:r>
            <w:r w:rsidR="003F2FAD" w:rsidRPr="00406EBF">
              <w:rPr>
                <w:webHidden/>
                <w:sz w:val="19"/>
                <w:szCs w:val="19"/>
              </w:rPr>
              <w:fldChar w:fldCharType="separate"/>
            </w:r>
            <w:r w:rsidR="000B25FF">
              <w:rPr>
                <w:webHidden/>
                <w:sz w:val="19"/>
                <w:szCs w:val="19"/>
              </w:rPr>
              <w:t>14</w:t>
            </w:r>
            <w:r w:rsidR="003F2FAD" w:rsidRPr="00406EBF">
              <w:rPr>
                <w:webHidden/>
                <w:sz w:val="19"/>
                <w:szCs w:val="19"/>
              </w:rPr>
              <w:fldChar w:fldCharType="end"/>
            </w:r>
          </w:hyperlink>
        </w:p>
        <w:p w14:paraId="60435656" w14:textId="280BB103"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60" w:history="1">
            <w:r w:rsidR="003F2FAD" w:rsidRPr="00406EBF">
              <w:rPr>
                <w:rStyle w:val="Lienhypertexte"/>
                <w:noProof/>
                <w:sz w:val="19"/>
                <w:szCs w:val="19"/>
              </w:rPr>
              <w:t>Transparence et contrôle des activités du gouvernement relevant de l’exécutif</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_Toc21339560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15</w:t>
            </w:r>
            <w:r w:rsidR="003F2FAD" w:rsidRPr="00406EBF">
              <w:rPr>
                <w:noProof/>
                <w:webHidden/>
                <w:sz w:val="19"/>
                <w:szCs w:val="19"/>
              </w:rPr>
              <w:fldChar w:fldCharType="end"/>
            </w:r>
          </w:hyperlink>
        </w:p>
        <w:p w14:paraId="1254058A" w14:textId="07147492" w:rsidR="003F2FAD" w:rsidRPr="00406EBF" w:rsidRDefault="007E6083">
          <w:pPr>
            <w:pStyle w:val="TM3"/>
            <w:rPr>
              <w:rFonts w:asciiTheme="minorHAnsi" w:eastAsiaTheme="minorEastAsia" w:hAnsiTheme="minorHAnsi" w:cstheme="minorBidi"/>
              <w:i w:val="0"/>
              <w:iCs w:val="0"/>
              <w:sz w:val="21"/>
              <w:szCs w:val="21"/>
              <w:lang w:val="fr-FR"/>
            </w:rPr>
          </w:pPr>
          <w:hyperlink w:anchor="_Toc21339561" w:history="1">
            <w:r w:rsidR="003F2FAD" w:rsidRPr="00406EBF">
              <w:rPr>
                <w:rStyle w:val="Lienhypertexte"/>
                <w:sz w:val="19"/>
                <w:szCs w:val="19"/>
              </w:rPr>
              <w:t>Accès aux informations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_Toc21339561 \h </w:instrText>
            </w:r>
            <w:r w:rsidR="003F2FAD" w:rsidRPr="00406EBF">
              <w:rPr>
                <w:webHidden/>
                <w:sz w:val="19"/>
                <w:szCs w:val="19"/>
              </w:rPr>
            </w:r>
            <w:r w:rsidR="003F2FAD" w:rsidRPr="00406EBF">
              <w:rPr>
                <w:webHidden/>
                <w:sz w:val="19"/>
                <w:szCs w:val="19"/>
              </w:rPr>
              <w:fldChar w:fldCharType="separate"/>
            </w:r>
            <w:r w:rsidR="000B25FF">
              <w:rPr>
                <w:webHidden/>
                <w:sz w:val="19"/>
                <w:szCs w:val="19"/>
              </w:rPr>
              <w:t>15</w:t>
            </w:r>
            <w:r w:rsidR="003F2FAD" w:rsidRPr="00406EBF">
              <w:rPr>
                <w:webHidden/>
                <w:sz w:val="19"/>
                <w:szCs w:val="19"/>
              </w:rPr>
              <w:fldChar w:fldCharType="end"/>
            </w:r>
          </w:hyperlink>
        </w:p>
        <w:p w14:paraId="3C652FC3" w14:textId="4FC855B1" w:rsidR="003F2FAD" w:rsidRPr="00406EBF" w:rsidRDefault="007E6083">
          <w:pPr>
            <w:pStyle w:val="TM3"/>
            <w:rPr>
              <w:rFonts w:asciiTheme="minorHAnsi" w:eastAsiaTheme="minorEastAsia" w:hAnsiTheme="minorHAnsi" w:cstheme="minorBidi"/>
              <w:i w:val="0"/>
              <w:iCs w:val="0"/>
              <w:sz w:val="21"/>
              <w:szCs w:val="21"/>
              <w:lang w:val="fr-FR"/>
            </w:rPr>
          </w:pPr>
          <w:hyperlink w:anchor="_Toc21339562" w:history="1">
            <w:r w:rsidR="003F2FAD" w:rsidRPr="00406EBF">
              <w:rPr>
                <w:rStyle w:val="Lienhypertexte"/>
                <w:sz w:val="19"/>
                <w:szCs w:val="19"/>
              </w:rPr>
              <w:t>Transparence des projets de loi</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_Toc21339562 \h </w:instrText>
            </w:r>
            <w:r w:rsidR="003F2FAD" w:rsidRPr="00406EBF">
              <w:rPr>
                <w:webHidden/>
                <w:sz w:val="19"/>
                <w:szCs w:val="19"/>
              </w:rPr>
            </w:r>
            <w:r w:rsidR="003F2FAD" w:rsidRPr="00406EBF">
              <w:rPr>
                <w:webHidden/>
                <w:sz w:val="19"/>
                <w:szCs w:val="19"/>
              </w:rPr>
              <w:fldChar w:fldCharType="separate"/>
            </w:r>
            <w:r w:rsidR="000B25FF">
              <w:rPr>
                <w:webHidden/>
                <w:sz w:val="19"/>
                <w:szCs w:val="19"/>
              </w:rPr>
              <w:t>16</w:t>
            </w:r>
            <w:r w:rsidR="003F2FAD" w:rsidRPr="00406EBF">
              <w:rPr>
                <w:webHidden/>
                <w:sz w:val="19"/>
                <w:szCs w:val="19"/>
              </w:rPr>
              <w:fldChar w:fldCharType="end"/>
            </w:r>
          </w:hyperlink>
        </w:p>
        <w:p w14:paraId="10E62143" w14:textId="639B8851" w:rsidR="003F2FAD" w:rsidRPr="00406EBF" w:rsidRDefault="007E6083">
          <w:pPr>
            <w:pStyle w:val="TM3"/>
            <w:rPr>
              <w:rFonts w:asciiTheme="minorHAnsi" w:eastAsiaTheme="minorEastAsia" w:hAnsiTheme="minorHAnsi" w:cstheme="minorBidi"/>
              <w:i w:val="0"/>
              <w:iCs w:val="0"/>
              <w:sz w:val="21"/>
              <w:szCs w:val="21"/>
              <w:lang w:val="fr-FR"/>
            </w:rPr>
          </w:pPr>
          <w:hyperlink w:anchor="_Toc21339563" w:history="1">
            <w:r w:rsidR="003F2FAD" w:rsidRPr="00406EBF">
              <w:rPr>
                <w:rStyle w:val="Lienhypertexte"/>
                <w:sz w:val="19"/>
                <w:szCs w:val="19"/>
              </w:rPr>
              <w:t>Tiers et lobbyistes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_Toc21339563 \h </w:instrText>
            </w:r>
            <w:r w:rsidR="003F2FAD" w:rsidRPr="00406EBF">
              <w:rPr>
                <w:webHidden/>
                <w:sz w:val="19"/>
                <w:szCs w:val="19"/>
              </w:rPr>
            </w:r>
            <w:r w:rsidR="003F2FAD" w:rsidRPr="00406EBF">
              <w:rPr>
                <w:webHidden/>
                <w:sz w:val="19"/>
                <w:szCs w:val="19"/>
              </w:rPr>
              <w:fldChar w:fldCharType="separate"/>
            </w:r>
            <w:r w:rsidR="000B25FF">
              <w:rPr>
                <w:webHidden/>
                <w:sz w:val="19"/>
                <w:szCs w:val="19"/>
              </w:rPr>
              <w:t>16</w:t>
            </w:r>
            <w:r w:rsidR="003F2FAD" w:rsidRPr="00406EBF">
              <w:rPr>
                <w:webHidden/>
                <w:sz w:val="19"/>
                <w:szCs w:val="19"/>
              </w:rPr>
              <w:fldChar w:fldCharType="end"/>
            </w:r>
          </w:hyperlink>
        </w:p>
        <w:p w14:paraId="6796BD83" w14:textId="5ABAABE0" w:rsidR="003F2FAD" w:rsidRPr="00406EBF" w:rsidRDefault="007E6083">
          <w:pPr>
            <w:pStyle w:val="TM3"/>
            <w:rPr>
              <w:rFonts w:asciiTheme="minorHAnsi" w:eastAsiaTheme="minorEastAsia" w:hAnsiTheme="minorHAnsi" w:cstheme="minorBidi"/>
              <w:i w:val="0"/>
              <w:iCs w:val="0"/>
              <w:sz w:val="21"/>
              <w:szCs w:val="21"/>
              <w:lang w:val="fr-FR"/>
            </w:rPr>
          </w:pPr>
          <w:hyperlink w:anchor="_Toc21339564" w:history="1">
            <w:r w:rsidR="003F2FAD" w:rsidRPr="00406EBF">
              <w:rPr>
                <w:rStyle w:val="Lienhypertexte"/>
                <w:sz w:val="19"/>
                <w:szCs w:val="19"/>
              </w:rPr>
              <w:t>Mécanismes de contrôle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_Toc21339564 \h </w:instrText>
            </w:r>
            <w:r w:rsidR="003F2FAD" w:rsidRPr="00406EBF">
              <w:rPr>
                <w:webHidden/>
                <w:sz w:val="19"/>
                <w:szCs w:val="19"/>
              </w:rPr>
            </w:r>
            <w:r w:rsidR="003F2FAD" w:rsidRPr="00406EBF">
              <w:rPr>
                <w:webHidden/>
                <w:sz w:val="19"/>
                <w:szCs w:val="19"/>
              </w:rPr>
              <w:fldChar w:fldCharType="separate"/>
            </w:r>
            <w:r w:rsidR="000B25FF">
              <w:rPr>
                <w:webHidden/>
                <w:sz w:val="19"/>
                <w:szCs w:val="19"/>
              </w:rPr>
              <w:t>17</w:t>
            </w:r>
            <w:r w:rsidR="003F2FAD" w:rsidRPr="00406EBF">
              <w:rPr>
                <w:webHidden/>
                <w:sz w:val="19"/>
                <w:szCs w:val="19"/>
              </w:rPr>
              <w:fldChar w:fldCharType="end"/>
            </w:r>
          </w:hyperlink>
        </w:p>
        <w:p w14:paraId="1CF130F2" w14:textId="62237AFC"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65" w:history="1">
            <w:r w:rsidR="003F2FAD" w:rsidRPr="00406EBF">
              <w:rPr>
                <w:rStyle w:val="Lienhypertexte"/>
                <w:noProof/>
                <w:sz w:val="19"/>
                <w:szCs w:val="19"/>
              </w:rPr>
              <w:t>Conflits d’intérêts</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_Toc21339565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19</w:t>
            </w:r>
            <w:r w:rsidR="003F2FAD" w:rsidRPr="00406EBF">
              <w:rPr>
                <w:noProof/>
                <w:webHidden/>
                <w:sz w:val="19"/>
                <w:szCs w:val="19"/>
              </w:rPr>
              <w:fldChar w:fldCharType="end"/>
            </w:r>
          </w:hyperlink>
        </w:p>
        <w:p w14:paraId="6BEF6C08" w14:textId="457D08D8"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66" w:history="1">
            <w:r w:rsidR="003F2FAD" w:rsidRPr="00406EBF">
              <w:rPr>
                <w:rStyle w:val="Lienhypertexte"/>
                <w:noProof/>
                <w:sz w:val="19"/>
                <w:szCs w:val="19"/>
              </w:rPr>
              <w:t>Interdiction ou limitation de certaines activités</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_Toc21339566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20</w:t>
            </w:r>
            <w:r w:rsidR="003F2FAD" w:rsidRPr="00406EBF">
              <w:rPr>
                <w:noProof/>
                <w:webHidden/>
                <w:sz w:val="19"/>
                <w:szCs w:val="19"/>
              </w:rPr>
              <w:fldChar w:fldCharType="end"/>
            </w:r>
          </w:hyperlink>
        </w:p>
        <w:p w14:paraId="5B1070FB" w14:textId="097B8AC2" w:rsidR="003F2FAD" w:rsidRPr="00406EBF" w:rsidRDefault="007E6083">
          <w:pPr>
            <w:pStyle w:val="TM3"/>
            <w:rPr>
              <w:rFonts w:asciiTheme="minorHAnsi" w:eastAsiaTheme="minorEastAsia" w:hAnsiTheme="minorHAnsi" w:cstheme="minorBidi"/>
              <w:i w:val="0"/>
              <w:iCs w:val="0"/>
              <w:sz w:val="21"/>
              <w:szCs w:val="21"/>
              <w:lang w:val="fr-FR"/>
            </w:rPr>
          </w:pPr>
          <w:hyperlink w:anchor="_Toc21339567" w:history="1">
            <w:r w:rsidR="003F2FAD" w:rsidRPr="00406EBF">
              <w:rPr>
                <w:rStyle w:val="Lienhypertexte"/>
                <w:sz w:val="19"/>
                <w:szCs w:val="19"/>
              </w:rPr>
              <w:t>Incompatibilités, activités accessoires et intérêts financiers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_Toc21339567 \h </w:instrText>
            </w:r>
            <w:r w:rsidR="003F2FAD" w:rsidRPr="00406EBF">
              <w:rPr>
                <w:webHidden/>
                <w:sz w:val="19"/>
                <w:szCs w:val="19"/>
              </w:rPr>
            </w:r>
            <w:r w:rsidR="003F2FAD" w:rsidRPr="00406EBF">
              <w:rPr>
                <w:webHidden/>
                <w:sz w:val="19"/>
                <w:szCs w:val="19"/>
              </w:rPr>
              <w:fldChar w:fldCharType="separate"/>
            </w:r>
            <w:r w:rsidR="000B25FF">
              <w:rPr>
                <w:webHidden/>
                <w:sz w:val="19"/>
                <w:szCs w:val="19"/>
              </w:rPr>
              <w:t>20</w:t>
            </w:r>
            <w:r w:rsidR="003F2FAD" w:rsidRPr="00406EBF">
              <w:rPr>
                <w:webHidden/>
                <w:sz w:val="19"/>
                <w:szCs w:val="19"/>
              </w:rPr>
              <w:fldChar w:fldCharType="end"/>
            </w:r>
          </w:hyperlink>
        </w:p>
        <w:p w14:paraId="20CB339D" w14:textId="1FC81FB2" w:rsidR="003F2FAD" w:rsidRPr="00406EBF" w:rsidRDefault="007E6083">
          <w:pPr>
            <w:pStyle w:val="TM3"/>
            <w:rPr>
              <w:rFonts w:asciiTheme="minorHAnsi" w:eastAsiaTheme="minorEastAsia" w:hAnsiTheme="minorHAnsi" w:cstheme="minorBidi"/>
              <w:i w:val="0"/>
              <w:iCs w:val="0"/>
              <w:sz w:val="21"/>
              <w:szCs w:val="21"/>
              <w:lang w:val="fr-FR"/>
            </w:rPr>
          </w:pPr>
          <w:hyperlink w:anchor="_Toc21339568" w:history="1">
            <w:r w:rsidR="003F2FAD" w:rsidRPr="00406EBF">
              <w:rPr>
                <w:rStyle w:val="Lienhypertexte"/>
                <w:sz w:val="19"/>
                <w:szCs w:val="19"/>
              </w:rPr>
              <w:t>Cadeaux</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_Toc21339568 \h </w:instrText>
            </w:r>
            <w:r w:rsidR="003F2FAD" w:rsidRPr="00406EBF">
              <w:rPr>
                <w:webHidden/>
                <w:sz w:val="19"/>
                <w:szCs w:val="19"/>
              </w:rPr>
            </w:r>
            <w:r w:rsidR="003F2FAD" w:rsidRPr="00406EBF">
              <w:rPr>
                <w:webHidden/>
                <w:sz w:val="19"/>
                <w:szCs w:val="19"/>
              </w:rPr>
              <w:fldChar w:fldCharType="separate"/>
            </w:r>
            <w:r w:rsidR="000B25FF">
              <w:rPr>
                <w:webHidden/>
                <w:sz w:val="19"/>
                <w:szCs w:val="19"/>
              </w:rPr>
              <w:t>21</w:t>
            </w:r>
            <w:r w:rsidR="003F2FAD" w:rsidRPr="00406EBF">
              <w:rPr>
                <w:webHidden/>
                <w:sz w:val="19"/>
                <w:szCs w:val="19"/>
              </w:rPr>
              <w:fldChar w:fldCharType="end"/>
            </w:r>
          </w:hyperlink>
        </w:p>
        <w:p w14:paraId="2E87CD20" w14:textId="76EDE446" w:rsidR="003F2FAD" w:rsidRPr="00406EBF" w:rsidRDefault="007E6083">
          <w:pPr>
            <w:pStyle w:val="TM3"/>
            <w:rPr>
              <w:rFonts w:asciiTheme="minorHAnsi" w:eastAsiaTheme="minorEastAsia" w:hAnsiTheme="minorHAnsi" w:cstheme="minorBidi"/>
              <w:i w:val="0"/>
              <w:iCs w:val="0"/>
              <w:sz w:val="21"/>
              <w:szCs w:val="21"/>
              <w:lang w:val="fr-FR"/>
            </w:rPr>
          </w:pPr>
          <w:hyperlink w:anchor="_Toc21339569" w:history="1">
            <w:r w:rsidR="003F2FAD" w:rsidRPr="00406EBF">
              <w:rPr>
                <w:rStyle w:val="Lienhypertexte"/>
                <w:sz w:val="19"/>
                <w:szCs w:val="19"/>
              </w:rPr>
              <w:t>Contrats avec des autorités étatiques, utilisation abusive de ressources publiques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_Toc21339569 \h </w:instrText>
            </w:r>
            <w:r w:rsidR="003F2FAD" w:rsidRPr="00406EBF">
              <w:rPr>
                <w:webHidden/>
                <w:sz w:val="19"/>
                <w:szCs w:val="19"/>
              </w:rPr>
            </w:r>
            <w:r w:rsidR="003F2FAD" w:rsidRPr="00406EBF">
              <w:rPr>
                <w:webHidden/>
                <w:sz w:val="19"/>
                <w:szCs w:val="19"/>
              </w:rPr>
              <w:fldChar w:fldCharType="separate"/>
            </w:r>
            <w:r w:rsidR="000B25FF">
              <w:rPr>
                <w:webHidden/>
                <w:sz w:val="19"/>
                <w:szCs w:val="19"/>
              </w:rPr>
              <w:t>22</w:t>
            </w:r>
            <w:r w:rsidR="003F2FAD" w:rsidRPr="00406EBF">
              <w:rPr>
                <w:webHidden/>
                <w:sz w:val="19"/>
                <w:szCs w:val="19"/>
              </w:rPr>
              <w:fldChar w:fldCharType="end"/>
            </w:r>
          </w:hyperlink>
        </w:p>
        <w:p w14:paraId="2AD51C38" w14:textId="79A326A4" w:rsidR="003F2FAD" w:rsidRPr="00406EBF" w:rsidRDefault="007E6083">
          <w:pPr>
            <w:pStyle w:val="TM3"/>
            <w:rPr>
              <w:rFonts w:asciiTheme="minorHAnsi" w:eastAsiaTheme="minorEastAsia" w:hAnsiTheme="minorHAnsi" w:cstheme="minorBidi"/>
              <w:i w:val="0"/>
              <w:iCs w:val="0"/>
              <w:sz w:val="21"/>
              <w:szCs w:val="21"/>
              <w:lang w:val="fr-FR"/>
            </w:rPr>
          </w:pPr>
          <w:hyperlink w:anchor="_Toc21339570" w:history="1">
            <w:r w:rsidR="003F2FAD" w:rsidRPr="00406EBF">
              <w:rPr>
                <w:rStyle w:val="Lienhypertexte"/>
                <w:sz w:val="19"/>
                <w:szCs w:val="19"/>
              </w:rPr>
              <w:t>Utilisation abusive d’informations confidentielles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_Toc21339570 \h </w:instrText>
            </w:r>
            <w:r w:rsidR="003F2FAD" w:rsidRPr="00406EBF">
              <w:rPr>
                <w:webHidden/>
                <w:sz w:val="19"/>
                <w:szCs w:val="19"/>
              </w:rPr>
            </w:r>
            <w:r w:rsidR="003F2FAD" w:rsidRPr="00406EBF">
              <w:rPr>
                <w:webHidden/>
                <w:sz w:val="19"/>
                <w:szCs w:val="19"/>
              </w:rPr>
              <w:fldChar w:fldCharType="separate"/>
            </w:r>
            <w:r w:rsidR="000B25FF">
              <w:rPr>
                <w:webHidden/>
                <w:sz w:val="19"/>
                <w:szCs w:val="19"/>
              </w:rPr>
              <w:t>22</w:t>
            </w:r>
            <w:r w:rsidR="003F2FAD" w:rsidRPr="00406EBF">
              <w:rPr>
                <w:webHidden/>
                <w:sz w:val="19"/>
                <w:szCs w:val="19"/>
              </w:rPr>
              <w:fldChar w:fldCharType="end"/>
            </w:r>
          </w:hyperlink>
        </w:p>
        <w:p w14:paraId="4CA850C8" w14:textId="26990BA1" w:rsidR="003F2FAD" w:rsidRPr="00406EBF" w:rsidRDefault="007E6083">
          <w:pPr>
            <w:pStyle w:val="TM3"/>
            <w:rPr>
              <w:rFonts w:asciiTheme="minorHAnsi" w:eastAsiaTheme="minorEastAsia" w:hAnsiTheme="minorHAnsi" w:cstheme="minorBidi"/>
              <w:i w:val="0"/>
              <w:iCs w:val="0"/>
              <w:sz w:val="21"/>
              <w:szCs w:val="21"/>
              <w:lang w:val="fr-FR"/>
            </w:rPr>
          </w:pPr>
          <w:hyperlink w:anchor="_Toc21339571" w:history="1">
            <w:r w:rsidR="003F2FAD" w:rsidRPr="00406EBF">
              <w:rPr>
                <w:rStyle w:val="Lienhypertexte"/>
                <w:sz w:val="19"/>
                <w:szCs w:val="19"/>
              </w:rPr>
              <w:t>Restrictions après la fin des fonctions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_Toc21339571 \h </w:instrText>
            </w:r>
            <w:r w:rsidR="003F2FAD" w:rsidRPr="00406EBF">
              <w:rPr>
                <w:webHidden/>
                <w:sz w:val="19"/>
                <w:szCs w:val="19"/>
              </w:rPr>
            </w:r>
            <w:r w:rsidR="003F2FAD" w:rsidRPr="00406EBF">
              <w:rPr>
                <w:webHidden/>
                <w:sz w:val="19"/>
                <w:szCs w:val="19"/>
              </w:rPr>
              <w:fldChar w:fldCharType="separate"/>
            </w:r>
            <w:r w:rsidR="000B25FF">
              <w:rPr>
                <w:webHidden/>
                <w:sz w:val="19"/>
                <w:szCs w:val="19"/>
              </w:rPr>
              <w:t>22</w:t>
            </w:r>
            <w:r w:rsidR="003F2FAD" w:rsidRPr="00406EBF">
              <w:rPr>
                <w:webHidden/>
                <w:sz w:val="19"/>
                <w:szCs w:val="19"/>
              </w:rPr>
              <w:fldChar w:fldCharType="end"/>
            </w:r>
          </w:hyperlink>
        </w:p>
        <w:p w14:paraId="702FEA96" w14:textId="1D3BD76C"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72" w:history="1">
            <w:r w:rsidR="003F2FAD" w:rsidRPr="00406EBF">
              <w:rPr>
                <w:rStyle w:val="Lienhypertexte"/>
                <w:noProof/>
                <w:sz w:val="19"/>
                <w:szCs w:val="19"/>
              </w:rPr>
              <w:t>Déclaration de patrimoine, de revenus, de passif et d’intérêts</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_Toc21339572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23</w:t>
            </w:r>
            <w:r w:rsidR="003F2FAD" w:rsidRPr="00406EBF">
              <w:rPr>
                <w:noProof/>
                <w:webHidden/>
                <w:sz w:val="19"/>
                <w:szCs w:val="19"/>
              </w:rPr>
              <w:fldChar w:fldCharType="end"/>
            </w:r>
          </w:hyperlink>
        </w:p>
        <w:p w14:paraId="794765D7" w14:textId="05D47BCA" w:rsidR="003F2FAD" w:rsidRPr="00406EBF" w:rsidRDefault="007E6083">
          <w:pPr>
            <w:pStyle w:val="TM3"/>
            <w:rPr>
              <w:rFonts w:asciiTheme="minorHAnsi" w:eastAsiaTheme="minorEastAsia" w:hAnsiTheme="minorHAnsi" w:cstheme="minorBidi"/>
              <w:i w:val="0"/>
              <w:iCs w:val="0"/>
              <w:sz w:val="21"/>
              <w:szCs w:val="21"/>
              <w:lang w:val="fr-FR"/>
            </w:rPr>
          </w:pPr>
          <w:hyperlink w:anchor="_Toc21339573" w:history="1">
            <w:r w:rsidR="003F2FAD" w:rsidRPr="00406EBF">
              <w:rPr>
                <w:rStyle w:val="Lienhypertexte"/>
                <w:sz w:val="19"/>
                <w:szCs w:val="19"/>
              </w:rPr>
              <w:t>Exigences de déclaration</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_Toc21339573 \h </w:instrText>
            </w:r>
            <w:r w:rsidR="003F2FAD" w:rsidRPr="00406EBF">
              <w:rPr>
                <w:webHidden/>
                <w:sz w:val="19"/>
                <w:szCs w:val="19"/>
              </w:rPr>
            </w:r>
            <w:r w:rsidR="003F2FAD" w:rsidRPr="00406EBF">
              <w:rPr>
                <w:webHidden/>
                <w:sz w:val="19"/>
                <w:szCs w:val="19"/>
              </w:rPr>
              <w:fldChar w:fldCharType="separate"/>
            </w:r>
            <w:r w:rsidR="000B25FF">
              <w:rPr>
                <w:webHidden/>
                <w:sz w:val="19"/>
                <w:szCs w:val="19"/>
              </w:rPr>
              <w:t>23</w:t>
            </w:r>
            <w:r w:rsidR="003F2FAD" w:rsidRPr="00406EBF">
              <w:rPr>
                <w:webHidden/>
                <w:sz w:val="19"/>
                <w:szCs w:val="19"/>
              </w:rPr>
              <w:fldChar w:fldCharType="end"/>
            </w:r>
          </w:hyperlink>
        </w:p>
        <w:p w14:paraId="431AD1EE" w14:textId="27A7208F" w:rsidR="003F2FAD" w:rsidRPr="00406EBF" w:rsidRDefault="007E6083">
          <w:pPr>
            <w:pStyle w:val="TM3"/>
            <w:rPr>
              <w:rFonts w:asciiTheme="minorHAnsi" w:eastAsiaTheme="minorEastAsia" w:hAnsiTheme="minorHAnsi" w:cstheme="minorBidi"/>
              <w:i w:val="0"/>
              <w:iCs w:val="0"/>
              <w:sz w:val="21"/>
              <w:szCs w:val="21"/>
              <w:lang w:val="fr-FR"/>
            </w:rPr>
          </w:pPr>
          <w:hyperlink w:anchor="_Toc21339574" w:history="1">
            <w:r w:rsidR="003F2FAD" w:rsidRPr="00406EBF">
              <w:rPr>
                <w:rStyle w:val="Lienhypertexte"/>
                <w:sz w:val="19"/>
                <w:szCs w:val="19"/>
              </w:rPr>
              <w:t>Mécanismes de contrôle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_Toc21339574 \h </w:instrText>
            </w:r>
            <w:r w:rsidR="003F2FAD" w:rsidRPr="00406EBF">
              <w:rPr>
                <w:webHidden/>
                <w:sz w:val="19"/>
                <w:szCs w:val="19"/>
              </w:rPr>
            </w:r>
            <w:r w:rsidR="003F2FAD" w:rsidRPr="00406EBF">
              <w:rPr>
                <w:webHidden/>
                <w:sz w:val="19"/>
                <w:szCs w:val="19"/>
              </w:rPr>
              <w:fldChar w:fldCharType="separate"/>
            </w:r>
            <w:r w:rsidR="000B25FF">
              <w:rPr>
                <w:webHidden/>
                <w:sz w:val="19"/>
                <w:szCs w:val="19"/>
              </w:rPr>
              <w:t>24</w:t>
            </w:r>
            <w:r w:rsidR="003F2FAD" w:rsidRPr="00406EBF">
              <w:rPr>
                <w:webHidden/>
                <w:sz w:val="19"/>
                <w:szCs w:val="19"/>
              </w:rPr>
              <w:fldChar w:fldCharType="end"/>
            </w:r>
          </w:hyperlink>
        </w:p>
        <w:p w14:paraId="76F475CB" w14:textId="74C42330"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75" w:history="1">
            <w:r w:rsidR="003F2FAD" w:rsidRPr="00406EBF">
              <w:rPr>
                <w:rStyle w:val="Lienhypertexte"/>
                <w:noProof/>
                <w:sz w:val="19"/>
                <w:szCs w:val="19"/>
              </w:rPr>
              <w:t>Mécanismes de contrôle et de mise en œuvre</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_Toc21339575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26</w:t>
            </w:r>
            <w:r w:rsidR="003F2FAD" w:rsidRPr="00406EBF">
              <w:rPr>
                <w:noProof/>
                <w:webHidden/>
                <w:sz w:val="19"/>
                <w:szCs w:val="19"/>
              </w:rPr>
              <w:fldChar w:fldCharType="end"/>
            </w:r>
          </w:hyperlink>
        </w:p>
        <w:p w14:paraId="1B57E0E3" w14:textId="3E928FF1" w:rsidR="003F2FAD" w:rsidRPr="00406EBF" w:rsidRDefault="007E6083">
          <w:pPr>
            <w:pStyle w:val="TM3"/>
            <w:rPr>
              <w:rFonts w:asciiTheme="minorHAnsi" w:eastAsiaTheme="minorEastAsia" w:hAnsiTheme="minorHAnsi" w:cstheme="minorBidi"/>
              <w:i w:val="0"/>
              <w:iCs w:val="0"/>
              <w:sz w:val="21"/>
              <w:szCs w:val="21"/>
              <w:lang w:val="fr-FR"/>
            </w:rPr>
          </w:pPr>
          <w:hyperlink w:anchor="_Toc21339576" w:history="1">
            <w:r w:rsidR="003F2FAD" w:rsidRPr="00406EBF">
              <w:rPr>
                <w:rStyle w:val="Lienhypertexte"/>
                <w:sz w:val="19"/>
                <w:szCs w:val="19"/>
              </w:rPr>
              <w:t>Poursuites pénales et immunité</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_Toc21339576 \h </w:instrText>
            </w:r>
            <w:r w:rsidR="003F2FAD" w:rsidRPr="00406EBF">
              <w:rPr>
                <w:webHidden/>
                <w:sz w:val="19"/>
                <w:szCs w:val="19"/>
              </w:rPr>
            </w:r>
            <w:r w:rsidR="003F2FAD" w:rsidRPr="00406EBF">
              <w:rPr>
                <w:webHidden/>
                <w:sz w:val="19"/>
                <w:szCs w:val="19"/>
              </w:rPr>
              <w:fldChar w:fldCharType="separate"/>
            </w:r>
            <w:r w:rsidR="000B25FF">
              <w:rPr>
                <w:webHidden/>
                <w:sz w:val="19"/>
                <w:szCs w:val="19"/>
              </w:rPr>
              <w:t>26</w:t>
            </w:r>
            <w:r w:rsidR="003F2FAD" w:rsidRPr="00406EBF">
              <w:rPr>
                <w:webHidden/>
                <w:sz w:val="19"/>
                <w:szCs w:val="19"/>
              </w:rPr>
              <w:fldChar w:fldCharType="end"/>
            </w:r>
          </w:hyperlink>
        </w:p>
        <w:p w14:paraId="155B2CEC" w14:textId="49781C8D" w:rsidR="003F2FAD" w:rsidRPr="00406EBF" w:rsidRDefault="007E6083">
          <w:pPr>
            <w:pStyle w:val="TM3"/>
            <w:rPr>
              <w:rFonts w:asciiTheme="minorHAnsi" w:eastAsiaTheme="minorEastAsia" w:hAnsiTheme="minorHAnsi" w:cstheme="minorBidi"/>
              <w:i w:val="0"/>
              <w:iCs w:val="0"/>
              <w:sz w:val="21"/>
              <w:szCs w:val="21"/>
              <w:lang w:val="fr-FR"/>
            </w:rPr>
          </w:pPr>
          <w:hyperlink w:anchor="_Toc21339577" w:history="1">
            <w:r w:rsidR="003F2FAD" w:rsidRPr="00406EBF">
              <w:rPr>
                <w:rStyle w:val="Lienhypertexte"/>
                <w:sz w:val="19"/>
                <w:szCs w:val="19"/>
              </w:rPr>
              <w:t>Mécanismes non répressifs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_Toc21339577 \h </w:instrText>
            </w:r>
            <w:r w:rsidR="003F2FAD" w:rsidRPr="00406EBF">
              <w:rPr>
                <w:webHidden/>
                <w:sz w:val="19"/>
                <w:szCs w:val="19"/>
              </w:rPr>
            </w:r>
            <w:r w:rsidR="003F2FAD" w:rsidRPr="00406EBF">
              <w:rPr>
                <w:webHidden/>
                <w:sz w:val="19"/>
                <w:szCs w:val="19"/>
              </w:rPr>
              <w:fldChar w:fldCharType="separate"/>
            </w:r>
            <w:r w:rsidR="000B25FF">
              <w:rPr>
                <w:webHidden/>
                <w:sz w:val="19"/>
                <w:szCs w:val="19"/>
              </w:rPr>
              <w:t>27</w:t>
            </w:r>
            <w:r w:rsidR="003F2FAD" w:rsidRPr="00406EBF">
              <w:rPr>
                <w:webHidden/>
                <w:sz w:val="19"/>
                <w:szCs w:val="19"/>
              </w:rPr>
              <w:fldChar w:fldCharType="end"/>
            </w:r>
          </w:hyperlink>
        </w:p>
        <w:p w14:paraId="65D72602" w14:textId="125AA32E" w:rsidR="003F2FAD" w:rsidRPr="00406EBF" w:rsidRDefault="007E6083">
          <w:pPr>
            <w:pStyle w:val="TM1"/>
            <w:rPr>
              <w:rFonts w:asciiTheme="minorHAnsi" w:eastAsiaTheme="minorEastAsia" w:hAnsiTheme="minorHAnsi" w:cstheme="minorBidi"/>
              <w:b w:val="0"/>
              <w:bCs w:val="0"/>
              <w:iCs w:val="0"/>
              <w:caps w:val="0"/>
              <w:sz w:val="21"/>
              <w:szCs w:val="21"/>
            </w:rPr>
          </w:pPr>
          <w:hyperlink w:anchor="_Toc21339578" w:history="1">
            <w:r w:rsidR="003F2FAD" w:rsidRPr="00406EBF">
              <w:rPr>
                <w:rStyle w:val="Lienhypertexte"/>
                <w:sz w:val="19"/>
                <w:szCs w:val="19"/>
              </w:rPr>
              <w:t>V.</w:t>
            </w:r>
            <w:r w:rsidR="003F2FAD" w:rsidRPr="00406EBF">
              <w:rPr>
                <w:rFonts w:asciiTheme="minorHAnsi" w:eastAsiaTheme="minorEastAsia" w:hAnsiTheme="minorHAnsi" w:cstheme="minorBidi"/>
                <w:b w:val="0"/>
                <w:bCs w:val="0"/>
                <w:iCs w:val="0"/>
                <w:caps w:val="0"/>
                <w:sz w:val="21"/>
                <w:szCs w:val="21"/>
              </w:rPr>
              <w:tab/>
            </w:r>
            <w:r w:rsidR="003F2FAD" w:rsidRPr="00406EBF">
              <w:rPr>
                <w:rStyle w:val="Lienhypertexte"/>
                <w:sz w:val="19"/>
                <w:szCs w:val="19"/>
              </w:rPr>
              <w:t>PRÉVENTION DE LA CORRUPTION AU SEIN DES SERVICES RÉPRESSIFS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_Toc21339578 \h </w:instrText>
            </w:r>
            <w:r w:rsidR="003F2FAD" w:rsidRPr="00406EBF">
              <w:rPr>
                <w:webHidden/>
                <w:sz w:val="19"/>
                <w:szCs w:val="19"/>
              </w:rPr>
            </w:r>
            <w:r w:rsidR="003F2FAD" w:rsidRPr="00406EBF">
              <w:rPr>
                <w:webHidden/>
                <w:sz w:val="19"/>
                <w:szCs w:val="19"/>
              </w:rPr>
              <w:fldChar w:fldCharType="separate"/>
            </w:r>
            <w:r w:rsidR="000B25FF">
              <w:rPr>
                <w:webHidden/>
                <w:sz w:val="19"/>
                <w:szCs w:val="19"/>
              </w:rPr>
              <w:t>31</w:t>
            </w:r>
            <w:r w:rsidR="003F2FAD" w:rsidRPr="00406EBF">
              <w:rPr>
                <w:webHidden/>
                <w:sz w:val="19"/>
                <w:szCs w:val="19"/>
              </w:rPr>
              <w:fldChar w:fldCharType="end"/>
            </w:r>
          </w:hyperlink>
        </w:p>
        <w:p w14:paraId="09DA177C" w14:textId="15B0CA2F"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79" w:history="1">
            <w:r w:rsidR="003F2FAD" w:rsidRPr="00406EBF">
              <w:rPr>
                <w:rStyle w:val="Lienhypertexte"/>
                <w:rFonts w:cstheme="minorHAnsi"/>
                <w:noProof/>
                <w:sz w:val="19"/>
                <w:szCs w:val="19"/>
              </w:rPr>
              <w:t>Organisation et responsabilité des services de police</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_Toc21339579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31</w:t>
            </w:r>
            <w:r w:rsidR="003F2FAD" w:rsidRPr="00406EBF">
              <w:rPr>
                <w:noProof/>
                <w:webHidden/>
                <w:sz w:val="19"/>
                <w:szCs w:val="19"/>
              </w:rPr>
              <w:fldChar w:fldCharType="end"/>
            </w:r>
          </w:hyperlink>
        </w:p>
        <w:p w14:paraId="0EC3B416" w14:textId="14754AAB" w:rsidR="003F2FAD" w:rsidRPr="00406EBF" w:rsidRDefault="007E6083">
          <w:pPr>
            <w:pStyle w:val="TM3"/>
            <w:rPr>
              <w:rFonts w:asciiTheme="minorHAnsi" w:eastAsiaTheme="minorEastAsia" w:hAnsiTheme="minorHAnsi" w:cstheme="minorBidi"/>
              <w:i w:val="0"/>
              <w:iCs w:val="0"/>
              <w:sz w:val="21"/>
              <w:szCs w:val="21"/>
              <w:lang w:val="fr-FR"/>
            </w:rPr>
          </w:pPr>
          <w:hyperlink w:anchor="_Toc21339580" w:history="1">
            <w:r w:rsidR="003F2FAD" w:rsidRPr="00406EBF">
              <w:rPr>
                <w:rStyle w:val="Lienhypertexte"/>
                <w:sz w:val="19"/>
                <w:szCs w:val="19"/>
              </w:rPr>
              <w:t>Aperçu des diverses autorités répressives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_Toc21339580 \h </w:instrText>
            </w:r>
            <w:r w:rsidR="003F2FAD" w:rsidRPr="00406EBF">
              <w:rPr>
                <w:webHidden/>
                <w:sz w:val="19"/>
                <w:szCs w:val="19"/>
              </w:rPr>
            </w:r>
            <w:r w:rsidR="003F2FAD" w:rsidRPr="00406EBF">
              <w:rPr>
                <w:webHidden/>
                <w:sz w:val="19"/>
                <w:szCs w:val="19"/>
              </w:rPr>
              <w:fldChar w:fldCharType="separate"/>
            </w:r>
            <w:r w:rsidR="000B25FF">
              <w:rPr>
                <w:webHidden/>
                <w:sz w:val="19"/>
                <w:szCs w:val="19"/>
              </w:rPr>
              <w:t>31</w:t>
            </w:r>
            <w:r w:rsidR="003F2FAD" w:rsidRPr="00406EBF">
              <w:rPr>
                <w:webHidden/>
                <w:sz w:val="19"/>
                <w:szCs w:val="19"/>
              </w:rPr>
              <w:fldChar w:fldCharType="end"/>
            </w:r>
          </w:hyperlink>
        </w:p>
        <w:p w14:paraId="04E060C6" w14:textId="47572057" w:rsidR="003F2FAD" w:rsidRPr="00406EBF" w:rsidRDefault="007E6083">
          <w:pPr>
            <w:pStyle w:val="TM3"/>
            <w:rPr>
              <w:rFonts w:asciiTheme="minorHAnsi" w:eastAsiaTheme="minorEastAsia" w:hAnsiTheme="minorHAnsi" w:cstheme="minorBidi"/>
              <w:i w:val="0"/>
              <w:iCs w:val="0"/>
              <w:sz w:val="21"/>
              <w:szCs w:val="21"/>
              <w:lang w:val="fr-FR"/>
            </w:rPr>
          </w:pPr>
          <w:hyperlink w:anchor="_Toc21339581" w:history="1">
            <w:r w:rsidR="003F2FAD" w:rsidRPr="00406EBF">
              <w:rPr>
                <w:rStyle w:val="Lienhypertexte"/>
                <w:sz w:val="19"/>
                <w:szCs w:val="19"/>
              </w:rPr>
              <w:t>Accès aux informations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_Toc21339581 \h </w:instrText>
            </w:r>
            <w:r w:rsidR="003F2FAD" w:rsidRPr="00406EBF">
              <w:rPr>
                <w:webHidden/>
                <w:sz w:val="19"/>
                <w:szCs w:val="19"/>
              </w:rPr>
            </w:r>
            <w:r w:rsidR="003F2FAD" w:rsidRPr="00406EBF">
              <w:rPr>
                <w:webHidden/>
                <w:sz w:val="19"/>
                <w:szCs w:val="19"/>
              </w:rPr>
              <w:fldChar w:fldCharType="separate"/>
            </w:r>
            <w:r w:rsidR="000B25FF">
              <w:rPr>
                <w:webHidden/>
                <w:sz w:val="19"/>
                <w:szCs w:val="19"/>
              </w:rPr>
              <w:t>34</w:t>
            </w:r>
            <w:r w:rsidR="003F2FAD" w:rsidRPr="00406EBF">
              <w:rPr>
                <w:webHidden/>
                <w:sz w:val="19"/>
                <w:szCs w:val="19"/>
              </w:rPr>
              <w:fldChar w:fldCharType="end"/>
            </w:r>
          </w:hyperlink>
        </w:p>
        <w:p w14:paraId="2EED48EC" w14:textId="0D120D24" w:rsidR="003F2FAD" w:rsidRPr="00406EBF" w:rsidRDefault="007E6083">
          <w:pPr>
            <w:pStyle w:val="TM3"/>
            <w:rPr>
              <w:rFonts w:asciiTheme="minorHAnsi" w:eastAsiaTheme="minorEastAsia" w:hAnsiTheme="minorHAnsi" w:cstheme="minorBidi"/>
              <w:i w:val="0"/>
              <w:iCs w:val="0"/>
              <w:sz w:val="21"/>
              <w:szCs w:val="21"/>
              <w:lang w:val="fr-FR"/>
            </w:rPr>
          </w:pPr>
          <w:hyperlink w:anchor="_Toc21339582" w:history="1">
            <w:r w:rsidR="003F2FAD" w:rsidRPr="00406EBF">
              <w:rPr>
                <w:rStyle w:val="Lienhypertexte"/>
                <w:sz w:val="19"/>
                <w:szCs w:val="19"/>
              </w:rPr>
              <w:t>Confiance du public en les services répressifs sélectionnés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_Toc21339582 \h </w:instrText>
            </w:r>
            <w:r w:rsidR="003F2FAD" w:rsidRPr="00406EBF">
              <w:rPr>
                <w:webHidden/>
                <w:sz w:val="19"/>
                <w:szCs w:val="19"/>
              </w:rPr>
            </w:r>
            <w:r w:rsidR="003F2FAD" w:rsidRPr="00406EBF">
              <w:rPr>
                <w:webHidden/>
                <w:sz w:val="19"/>
                <w:szCs w:val="19"/>
              </w:rPr>
              <w:fldChar w:fldCharType="separate"/>
            </w:r>
            <w:r w:rsidR="000B25FF">
              <w:rPr>
                <w:webHidden/>
                <w:sz w:val="19"/>
                <w:szCs w:val="19"/>
              </w:rPr>
              <w:t>35</w:t>
            </w:r>
            <w:r w:rsidR="003F2FAD" w:rsidRPr="00406EBF">
              <w:rPr>
                <w:webHidden/>
                <w:sz w:val="19"/>
                <w:szCs w:val="19"/>
              </w:rPr>
              <w:fldChar w:fldCharType="end"/>
            </w:r>
          </w:hyperlink>
        </w:p>
        <w:p w14:paraId="60135A07" w14:textId="251B5E84" w:rsidR="003F2FAD" w:rsidRPr="00406EBF" w:rsidRDefault="007E6083">
          <w:pPr>
            <w:pStyle w:val="TM3"/>
            <w:rPr>
              <w:rFonts w:asciiTheme="minorHAnsi" w:eastAsiaTheme="minorEastAsia" w:hAnsiTheme="minorHAnsi" w:cstheme="minorBidi"/>
              <w:i w:val="0"/>
              <w:iCs w:val="0"/>
              <w:sz w:val="21"/>
              <w:szCs w:val="21"/>
              <w:lang w:val="fr-FR"/>
            </w:rPr>
          </w:pPr>
          <w:hyperlink w:anchor="_Toc21339583" w:history="1">
            <w:r w:rsidR="003F2FAD" w:rsidRPr="00406EBF">
              <w:rPr>
                <w:rStyle w:val="Lienhypertexte"/>
                <w:sz w:val="19"/>
                <w:szCs w:val="19"/>
              </w:rPr>
              <w:t>Syndicats et associations professionnelles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_Toc21339583 \h </w:instrText>
            </w:r>
            <w:r w:rsidR="003F2FAD" w:rsidRPr="00406EBF">
              <w:rPr>
                <w:webHidden/>
                <w:sz w:val="19"/>
                <w:szCs w:val="19"/>
              </w:rPr>
            </w:r>
            <w:r w:rsidR="003F2FAD" w:rsidRPr="00406EBF">
              <w:rPr>
                <w:webHidden/>
                <w:sz w:val="19"/>
                <w:szCs w:val="19"/>
              </w:rPr>
              <w:fldChar w:fldCharType="separate"/>
            </w:r>
            <w:r w:rsidR="000B25FF">
              <w:rPr>
                <w:webHidden/>
                <w:sz w:val="19"/>
                <w:szCs w:val="19"/>
              </w:rPr>
              <w:t>35</w:t>
            </w:r>
            <w:r w:rsidR="003F2FAD" w:rsidRPr="00406EBF">
              <w:rPr>
                <w:webHidden/>
                <w:sz w:val="19"/>
                <w:szCs w:val="19"/>
              </w:rPr>
              <w:fldChar w:fldCharType="end"/>
            </w:r>
          </w:hyperlink>
        </w:p>
        <w:p w14:paraId="6171A5A5" w14:textId="2005B0B2"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84" w:history="1">
            <w:r w:rsidR="003F2FAD" w:rsidRPr="00406EBF">
              <w:rPr>
                <w:rStyle w:val="Lienhypertexte"/>
                <w:noProof/>
                <w:sz w:val="19"/>
                <w:szCs w:val="19"/>
              </w:rPr>
              <w:t>Politique anticorruption et d'intégrité, cadre réglementaire et institutionnel</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_Toc21339584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36</w:t>
            </w:r>
            <w:r w:rsidR="003F2FAD" w:rsidRPr="00406EBF">
              <w:rPr>
                <w:noProof/>
                <w:webHidden/>
                <w:sz w:val="19"/>
                <w:szCs w:val="19"/>
              </w:rPr>
              <w:fldChar w:fldCharType="end"/>
            </w:r>
          </w:hyperlink>
        </w:p>
        <w:p w14:paraId="5FEC8262" w14:textId="51AE804A" w:rsidR="003F2FAD" w:rsidRPr="00406EBF" w:rsidRDefault="007E6083">
          <w:pPr>
            <w:pStyle w:val="TM3"/>
            <w:rPr>
              <w:rFonts w:asciiTheme="minorHAnsi" w:eastAsiaTheme="minorEastAsia" w:hAnsiTheme="minorHAnsi" w:cstheme="minorBidi"/>
              <w:i w:val="0"/>
              <w:iCs w:val="0"/>
              <w:sz w:val="21"/>
              <w:szCs w:val="21"/>
              <w:lang w:val="fr-FR"/>
            </w:rPr>
          </w:pPr>
          <w:hyperlink w:anchor="_Toc21339585" w:history="1">
            <w:r w:rsidR="003F2FAD" w:rsidRPr="00406EBF">
              <w:rPr>
                <w:rStyle w:val="Lienhypertexte"/>
                <w:sz w:val="19"/>
                <w:szCs w:val="19"/>
              </w:rPr>
              <w:t>Cadre législatif et réglementaire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_Toc21339585 \h </w:instrText>
            </w:r>
            <w:r w:rsidR="003F2FAD" w:rsidRPr="00406EBF">
              <w:rPr>
                <w:webHidden/>
                <w:sz w:val="19"/>
                <w:szCs w:val="19"/>
              </w:rPr>
            </w:r>
            <w:r w:rsidR="003F2FAD" w:rsidRPr="00406EBF">
              <w:rPr>
                <w:webHidden/>
                <w:sz w:val="19"/>
                <w:szCs w:val="19"/>
              </w:rPr>
              <w:fldChar w:fldCharType="separate"/>
            </w:r>
            <w:r w:rsidR="000B25FF">
              <w:rPr>
                <w:webHidden/>
                <w:sz w:val="19"/>
                <w:szCs w:val="19"/>
              </w:rPr>
              <w:t>36</w:t>
            </w:r>
            <w:r w:rsidR="003F2FAD" w:rsidRPr="00406EBF">
              <w:rPr>
                <w:webHidden/>
                <w:sz w:val="19"/>
                <w:szCs w:val="19"/>
              </w:rPr>
              <w:fldChar w:fldCharType="end"/>
            </w:r>
          </w:hyperlink>
        </w:p>
        <w:p w14:paraId="0F52C278" w14:textId="0F7A0990" w:rsidR="003F2FAD" w:rsidRPr="00406EBF" w:rsidRDefault="007E6083">
          <w:pPr>
            <w:pStyle w:val="TM3"/>
            <w:rPr>
              <w:rFonts w:asciiTheme="minorHAnsi" w:eastAsiaTheme="minorEastAsia" w:hAnsiTheme="minorHAnsi" w:cstheme="minorBidi"/>
              <w:i w:val="0"/>
              <w:iCs w:val="0"/>
              <w:sz w:val="21"/>
              <w:szCs w:val="21"/>
              <w:lang w:val="fr-FR"/>
            </w:rPr>
          </w:pPr>
          <w:hyperlink w:anchor="_Toc21339586" w:history="1">
            <w:r w:rsidR="003F2FAD" w:rsidRPr="00406EBF">
              <w:rPr>
                <w:rStyle w:val="Lienhypertexte"/>
                <w:sz w:val="19"/>
                <w:szCs w:val="19"/>
              </w:rPr>
              <w:t>Cadre institutionnel</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_Toc21339586 \h </w:instrText>
            </w:r>
            <w:r w:rsidR="003F2FAD" w:rsidRPr="00406EBF">
              <w:rPr>
                <w:webHidden/>
                <w:sz w:val="19"/>
                <w:szCs w:val="19"/>
              </w:rPr>
            </w:r>
            <w:r w:rsidR="003F2FAD" w:rsidRPr="00406EBF">
              <w:rPr>
                <w:webHidden/>
                <w:sz w:val="19"/>
                <w:szCs w:val="19"/>
              </w:rPr>
              <w:fldChar w:fldCharType="separate"/>
            </w:r>
            <w:r w:rsidR="000B25FF">
              <w:rPr>
                <w:webHidden/>
                <w:sz w:val="19"/>
                <w:szCs w:val="19"/>
              </w:rPr>
              <w:t>36</w:t>
            </w:r>
            <w:r w:rsidR="003F2FAD" w:rsidRPr="00406EBF">
              <w:rPr>
                <w:webHidden/>
                <w:sz w:val="19"/>
                <w:szCs w:val="19"/>
              </w:rPr>
              <w:fldChar w:fldCharType="end"/>
            </w:r>
          </w:hyperlink>
        </w:p>
        <w:p w14:paraId="74FB3967" w14:textId="79A21683" w:rsidR="003F2FAD" w:rsidRPr="00406EBF" w:rsidRDefault="007E6083">
          <w:pPr>
            <w:pStyle w:val="TM3"/>
            <w:rPr>
              <w:rFonts w:asciiTheme="minorHAnsi" w:eastAsiaTheme="minorEastAsia" w:hAnsiTheme="minorHAnsi" w:cstheme="minorBidi"/>
              <w:i w:val="0"/>
              <w:iCs w:val="0"/>
              <w:sz w:val="21"/>
              <w:szCs w:val="21"/>
              <w:lang w:val="fr-FR"/>
            </w:rPr>
          </w:pPr>
          <w:hyperlink w:anchor="_Toc21339587" w:history="1">
            <w:r w:rsidR="003F2FAD" w:rsidRPr="00406EBF">
              <w:rPr>
                <w:rStyle w:val="Lienhypertexte"/>
                <w:sz w:val="19"/>
                <w:szCs w:val="19"/>
              </w:rPr>
              <w:t>Politique anticorruption et d'intégrité</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_Toc21339587 \h </w:instrText>
            </w:r>
            <w:r w:rsidR="003F2FAD" w:rsidRPr="00406EBF">
              <w:rPr>
                <w:webHidden/>
                <w:sz w:val="19"/>
                <w:szCs w:val="19"/>
              </w:rPr>
            </w:r>
            <w:r w:rsidR="003F2FAD" w:rsidRPr="00406EBF">
              <w:rPr>
                <w:webHidden/>
                <w:sz w:val="19"/>
                <w:szCs w:val="19"/>
              </w:rPr>
              <w:fldChar w:fldCharType="separate"/>
            </w:r>
            <w:r w:rsidR="000B25FF">
              <w:rPr>
                <w:webHidden/>
                <w:sz w:val="19"/>
                <w:szCs w:val="19"/>
              </w:rPr>
              <w:t>37</w:t>
            </w:r>
            <w:r w:rsidR="003F2FAD" w:rsidRPr="00406EBF">
              <w:rPr>
                <w:webHidden/>
                <w:sz w:val="19"/>
                <w:szCs w:val="19"/>
              </w:rPr>
              <w:fldChar w:fldCharType="end"/>
            </w:r>
          </w:hyperlink>
        </w:p>
        <w:p w14:paraId="64D60D04" w14:textId="7940461A" w:rsidR="003F2FAD" w:rsidRPr="00406EBF" w:rsidRDefault="007E6083">
          <w:pPr>
            <w:pStyle w:val="TM3"/>
            <w:rPr>
              <w:rFonts w:asciiTheme="minorHAnsi" w:eastAsiaTheme="minorEastAsia" w:hAnsiTheme="minorHAnsi" w:cstheme="minorBidi"/>
              <w:i w:val="0"/>
              <w:iCs w:val="0"/>
              <w:sz w:val="21"/>
              <w:szCs w:val="21"/>
              <w:lang w:val="fr-FR"/>
            </w:rPr>
          </w:pPr>
          <w:hyperlink w:anchor="_Toc21339588" w:history="1">
            <w:r w:rsidR="003F2FAD" w:rsidRPr="00406EBF">
              <w:rPr>
                <w:rStyle w:val="Lienhypertexte"/>
                <w:sz w:val="19"/>
                <w:szCs w:val="19"/>
              </w:rPr>
              <w:t>Gestion des opérations d’infiltration et contacts avec les informateurs et témoins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_Toc21339588 \h </w:instrText>
            </w:r>
            <w:r w:rsidR="003F2FAD" w:rsidRPr="00406EBF">
              <w:rPr>
                <w:webHidden/>
                <w:sz w:val="19"/>
                <w:szCs w:val="19"/>
              </w:rPr>
            </w:r>
            <w:r w:rsidR="003F2FAD" w:rsidRPr="00406EBF">
              <w:rPr>
                <w:webHidden/>
                <w:sz w:val="19"/>
                <w:szCs w:val="19"/>
              </w:rPr>
              <w:fldChar w:fldCharType="separate"/>
            </w:r>
            <w:r w:rsidR="000B25FF">
              <w:rPr>
                <w:webHidden/>
                <w:sz w:val="19"/>
                <w:szCs w:val="19"/>
              </w:rPr>
              <w:t>38</w:t>
            </w:r>
            <w:r w:rsidR="003F2FAD" w:rsidRPr="00406EBF">
              <w:rPr>
                <w:webHidden/>
                <w:sz w:val="19"/>
                <w:szCs w:val="19"/>
              </w:rPr>
              <w:fldChar w:fldCharType="end"/>
            </w:r>
          </w:hyperlink>
        </w:p>
        <w:p w14:paraId="02BE422D" w14:textId="06CDCF9F" w:rsidR="003F2FAD" w:rsidRPr="00406EBF" w:rsidRDefault="007E6083">
          <w:pPr>
            <w:pStyle w:val="TM3"/>
            <w:rPr>
              <w:rFonts w:asciiTheme="minorHAnsi" w:eastAsiaTheme="minorEastAsia" w:hAnsiTheme="minorHAnsi" w:cstheme="minorBidi"/>
              <w:i w:val="0"/>
              <w:iCs w:val="0"/>
              <w:sz w:val="21"/>
              <w:szCs w:val="21"/>
              <w:lang w:val="fr-FR"/>
            </w:rPr>
          </w:pPr>
          <w:hyperlink w:anchor="_Toc21339589" w:history="1">
            <w:r w:rsidR="003F2FAD" w:rsidRPr="00406EBF">
              <w:rPr>
                <w:rStyle w:val="Lienhypertexte"/>
                <w:sz w:val="19"/>
                <w:szCs w:val="19"/>
              </w:rPr>
              <w:t>Principes éthiques et codes de conduite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_Toc21339589 \h </w:instrText>
            </w:r>
            <w:r w:rsidR="003F2FAD" w:rsidRPr="00406EBF">
              <w:rPr>
                <w:webHidden/>
                <w:sz w:val="19"/>
                <w:szCs w:val="19"/>
              </w:rPr>
            </w:r>
            <w:r w:rsidR="003F2FAD" w:rsidRPr="00406EBF">
              <w:rPr>
                <w:webHidden/>
                <w:sz w:val="19"/>
                <w:szCs w:val="19"/>
              </w:rPr>
              <w:fldChar w:fldCharType="separate"/>
            </w:r>
            <w:r w:rsidR="000B25FF">
              <w:rPr>
                <w:webHidden/>
                <w:sz w:val="19"/>
                <w:szCs w:val="19"/>
              </w:rPr>
              <w:t>39</w:t>
            </w:r>
            <w:r w:rsidR="003F2FAD" w:rsidRPr="00406EBF">
              <w:rPr>
                <w:webHidden/>
                <w:sz w:val="19"/>
                <w:szCs w:val="19"/>
              </w:rPr>
              <w:fldChar w:fldCharType="end"/>
            </w:r>
          </w:hyperlink>
        </w:p>
        <w:p w14:paraId="57FD6527" w14:textId="43CBF063" w:rsidR="003F2FAD" w:rsidRPr="00406EBF" w:rsidRDefault="007E6083">
          <w:pPr>
            <w:pStyle w:val="TM3"/>
            <w:rPr>
              <w:rFonts w:asciiTheme="minorHAnsi" w:eastAsiaTheme="minorEastAsia" w:hAnsiTheme="minorHAnsi" w:cstheme="minorBidi"/>
              <w:i w:val="0"/>
              <w:iCs w:val="0"/>
              <w:sz w:val="21"/>
              <w:szCs w:val="21"/>
              <w:lang w:val="fr-FR"/>
            </w:rPr>
          </w:pPr>
          <w:hyperlink w:anchor="_Toc21339590" w:history="1">
            <w:r w:rsidR="003F2FAD" w:rsidRPr="00406EBF">
              <w:rPr>
                <w:rStyle w:val="Lienhypertexte"/>
                <w:sz w:val="19"/>
                <w:szCs w:val="19"/>
              </w:rPr>
              <w:t>Conseil, formation et sensibilisation</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_Toc21339590 \h </w:instrText>
            </w:r>
            <w:r w:rsidR="003F2FAD" w:rsidRPr="00406EBF">
              <w:rPr>
                <w:webHidden/>
                <w:sz w:val="19"/>
                <w:szCs w:val="19"/>
              </w:rPr>
            </w:r>
            <w:r w:rsidR="003F2FAD" w:rsidRPr="00406EBF">
              <w:rPr>
                <w:webHidden/>
                <w:sz w:val="19"/>
                <w:szCs w:val="19"/>
              </w:rPr>
              <w:fldChar w:fldCharType="separate"/>
            </w:r>
            <w:r w:rsidR="000B25FF">
              <w:rPr>
                <w:webHidden/>
                <w:sz w:val="19"/>
                <w:szCs w:val="19"/>
              </w:rPr>
              <w:t>39</w:t>
            </w:r>
            <w:r w:rsidR="003F2FAD" w:rsidRPr="00406EBF">
              <w:rPr>
                <w:webHidden/>
                <w:sz w:val="19"/>
                <w:szCs w:val="19"/>
              </w:rPr>
              <w:fldChar w:fldCharType="end"/>
            </w:r>
          </w:hyperlink>
        </w:p>
        <w:p w14:paraId="2F1E7AD6" w14:textId="2A8571B4"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91" w:history="1">
            <w:r w:rsidR="003F2FAD" w:rsidRPr="00406EBF">
              <w:rPr>
                <w:rStyle w:val="Lienhypertexte"/>
                <w:noProof/>
                <w:sz w:val="19"/>
                <w:szCs w:val="19"/>
              </w:rPr>
              <w:t>Recrutement et évolution de carrière</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_Toc21339591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40</w:t>
            </w:r>
            <w:r w:rsidR="003F2FAD" w:rsidRPr="00406EBF">
              <w:rPr>
                <w:noProof/>
                <w:webHidden/>
                <w:sz w:val="19"/>
                <w:szCs w:val="19"/>
              </w:rPr>
              <w:fldChar w:fldCharType="end"/>
            </w:r>
          </w:hyperlink>
        </w:p>
        <w:p w14:paraId="3F5B4347" w14:textId="194951D8" w:rsidR="003F2FAD" w:rsidRPr="00406EBF" w:rsidRDefault="007E6083">
          <w:pPr>
            <w:pStyle w:val="TM3"/>
            <w:rPr>
              <w:rFonts w:asciiTheme="minorHAnsi" w:eastAsiaTheme="minorEastAsia" w:hAnsiTheme="minorHAnsi" w:cstheme="minorBidi"/>
              <w:i w:val="0"/>
              <w:iCs w:val="0"/>
              <w:sz w:val="21"/>
              <w:szCs w:val="21"/>
              <w:lang w:val="fr-FR"/>
            </w:rPr>
          </w:pPr>
          <w:hyperlink w:anchor="_Toc21339592" w:history="1">
            <w:r w:rsidR="003F2FAD" w:rsidRPr="00406EBF">
              <w:rPr>
                <w:rStyle w:val="Lienhypertexte"/>
                <w:sz w:val="19"/>
                <w:szCs w:val="19"/>
              </w:rPr>
              <w:t>Régimes d'emploi</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_Toc21339592 \h </w:instrText>
            </w:r>
            <w:r w:rsidR="003F2FAD" w:rsidRPr="00406EBF">
              <w:rPr>
                <w:webHidden/>
                <w:sz w:val="19"/>
                <w:szCs w:val="19"/>
              </w:rPr>
            </w:r>
            <w:r w:rsidR="003F2FAD" w:rsidRPr="00406EBF">
              <w:rPr>
                <w:webHidden/>
                <w:sz w:val="19"/>
                <w:szCs w:val="19"/>
              </w:rPr>
              <w:fldChar w:fldCharType="separate"/>
            </w:r>
            <w:r w:rsidR="000B25FF">
              <w:rPr>
                <w:webHidden/>
                <w:sz w:val="19"/>
                <w:szCs w:val="19"/>
              </w:rPr>
              <w:t>40</w:t>
            </w:r>
            <w:r w:rsidR="003F2FAD" w:rsidRPr="00406EBF">
              <w:rPr>
                <w:webHidden/>
                <w:sz w:val="19"/>
                <w:szCs w:val="19"/>
              </w:rPr>
              <w:fldChar w:fldCharType="end"/>
            </w:r>
          </w:hyperlink>
        </w:p>
        <w:p w14:paraId="2B30C4F9" w14:textId="6312AC20" w:rsidR="003F2FAD" w:rsidRPr="00406EBF" w:rsidRDefault="007E6083">
          <w:pPr>
            <w:pStyle w:val="TM3"/>
            <w:rPr>
              <w:rFonts w:asciiTheme="minorHAnsi" w:eastAsiaTheme="minorEastAsia" w:hAnsiTheme="minorHAnsi" w:cstheme="minorBidi"/>
              <w:i w:val="0"/>
              <w:iCs w:val="0"/>
              <w:sz w:val="21"/>
              <w:szCs w:val="21"/>
              <w:lang w:val="fr-FR"/>
            </w:rPr>
          </w:pPr>
          <w:hyperlink w:anchor="_Toc21339593" w:history="1">
            <w:r w:rsidR="003F2FAD" w:rsidRPr="00406EBF">
              <w:rPr>
                <w:rStyle w:val="Lienhypertexte"/>
                <w:sz w:val="19"/>
                <w:szCs w:val="19"/>
              </w:rPr>
              <w:t>Procédure de nomination et promotion</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_Toc21339593 \h </w:instrText>
            </w:r>
            <w:r w:rsidR="003F2FAD" w:rsidRPr="00406EBF">
              <w:rPr>
                <w:webHidden/>
                <w:sz w:val="19"/>
                <w:szCs w:val="19"/>
              </w:rPr>
            </w:r>
            <w:r w:rsidR="003F2FAD" w:rsidRPr="00406EBF">
              <w:rPr>
                <w:webHidden/>
                <w:sz w:val="19"/>
                <w:szCs w:val="19"/>
              </w:rPr>
              <w:fldChar w:fldCharType="separate"/>
            </w:r>
            <w:r w:rsidR="000B25FF">
              <w:rPr>
                <w:webHidden/>
                <w:sz w:val="19"/>
                <w:szCs w:val="19"/>
              </w:rPr>
              <w:t>41</w:t>
            </w:r>
            <w:r w:rsidR="003F2FAD" w:rsidRPr="00406EBF">
              <w:rPr>
                <w:webHidden/>
                <w:sz w:val="19"/>
                <w:szCs w:val="19"/>
              </w:rPr>
              <w:fldChar w:fldCharType="end"/>
            </w:r>
          </w:hyperlink>
        </w:p>
        <w:p w14:paraId="0901578E" w14:textId="43C6EF70" w:rsidR="003F2FAD" w:rsidRPr="00406EBF" w:rsidRDefault="007E6083">
          <w:pPr>
            <w:pStyle w:val="TM3"/>
            <w:rPr>
              <w:rFonts w:asciiTheme="minorHAnsi" w:eastAsiaTheme="minorEastAsia" w:hAnsiTheme="minorHAnsi" w:cstheme="minorBidi"/>
              <w:i w:val="0"/>
              <w:iCs w:val="0"/>
              <w:sz w:val="21"/>
              <w:szCs w:val="21"/>
              <w:lang w:val="fr-FR"/>
            </w:rPr>
          </w:pPr>
          <w:hyperlink w:anchor="_Toc21339594" w:history="1">
            <w:r w:rsidR="003F2FAD" w:rsidRPr="00406EBF">
              <w:rPr>
                <w:rStyle w:val="Lienhypertexte"/>
                <w:sz w:val="19"/>
                <w:szCs w:val="19"/>
              </w:rPr>
              <w:t>Évaluation des performances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_Toc21339594 \h </w:instrText>
            </w:r>
            <w:r w:rsidR="003F2FAD" w:rsidRPr="00406EBF">
              <w:rPr>
                <w:webHidden/>
                <w:sz w:val="19"/>
                <w:szCs w:val="19"/>
              </w:rPr>
            </w:r>
            <w:r w:rsidR="003F2FAD" w:rsidRPr="00406EBF">
              <w:rPr>
                <w:webHidden/>
                <w:sz w:val="19"/>
                <w:szCs w:val="19"/>
              </w:rPr>
              <w:fldChar w:fldCharType="separate"/>
            </w:r>
            <w:r w:rsidR="000B25FF">
              <w:rPr>
                <w:webHidden/>
                <w:sz w:val="19"/>
                <w:szCs w:val="19"/>
              </w:rPr>
              <w:t>42</w:t>
            </w:r>
            <w:r w:rsidR="003F2FAD" w:rsidRPr="00406EBF">
              <w:rPr>
                <w:webHidden/>
                <w:sz w:val="19"/>
                <w:szCs w:val="19"/>
              </w:rPr>
              <w:fldChar w:fldCharType="end"/>
            </w:r>
          </w:hyperlink>
        </w:p>
        <w:p w14:paraId="1388A6EC" w14:textId="29444957" w:rsidR="003F2FAD" w:rsidRPr="00406EBF" w:rsidRDefault="007E6083">
          <w:pPr>
            <w:pStyle w:val="TM3"/>
            <w:rPr>
              <w:rFonts w:asciiTheme="minorHAnsi" w:eastAsiaTheme="minorEastAsia" w:hAnsiTheme="minorHAnsi" w:cstheme="minorBidi"/>
              <w:i w:val="0"/>
              <w:iCs w:val="0"/>
              <w:sz w:val="21"/>
              <w:szCs w:val="21"/>
              <w:lang w:val="fr-FR"/>
            </w:rPr>
          </w:pPr>
          <w:hyperlink w:anchor="_Toc21339595" w:history="1">
            <w:r w:rsidR="003F2FAD" w:rsidRPr="00406EBF">
              <w:rPr>
                <w:rStyle w:val="Lienhypertexte"/>
                <w:sz w:val="19"/>
                <w:szCs w:val="19"/>
              </w:rPr>
              <w:t>Rotation et mobilité</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_Toc21339595 \h </w:instrText>
            </w:r>
            <w:r w:rsidR="003F2FAD" w:rsidRPr="00406EBF">
              <w:rPr>
                <w:webHidden/>
                <w:sz w:val="19"/>
                <w:szCs w:val="19"/>
              </w:rPr>
            </w:r>
            <w:r w:rsidR="003F2FAD" w:rsidRPr="00406EBF">
              <w:rPr>
                <w:webHidden/>
                <w:sz w:val="19"/>
                <w:szCs w:val="19"/>
              </w:rPr>
              <w:fldChar w:fldCharType="separate"/>
            </w:r>
            <w:r w:rsidR="000B25FF">
              <w:rPr>
                <w:webHidden/>
                <w:sz w:val="19"/>
                <w:szCs w:val="19"/>
              </w:rPr>
              <w:t>43</w:t>
            </w:r>
            <w:r w:rsidR="003F2FAD" w:rsidRPr="00406EBF">
              <w:rPr>
                <w:webHidden/>
                <w:sz w:val="19"/>
                <w:szCs w:val="19"/>
              </w:rPr>
              <w:fldChar w:fldCharType="end"/>
            </w:r>
          </w:hyperlink>
        </w:p>
        <w:p w14:paraId="7C787862" w14:textId="5B1D8FAD" w:rsidR="003F2FAD" w:rsidRPr="00406EBF" w:rsidRDefault="007E6083">
          <w:pPr>
            <w:pStyle w:val="TM3"/>
            <w:rPr>
              <w:rFonts w:asciiTheme="minorHAnsi" w:eastAsiaTheme="minorEastAsia" w:hAnsiTheme="minorHAnsi" w:cstheme="minorBidi"/>
              <w:i w:val="0"/>
              <w:iCs w:val="0"/>
              <w:sz w:val="21"/>
              <w:szCs w:val="21"/>
              <w:lang w:val="fr-FR"/>
            </w:rPr>
          </w:pPr>
          <w:hyperlink w:anchor="_Toc21339596" w:history="1">
            <w:r w:rsidR="003F2FAD" w:rsidRPr="00406EBF">
              <w:rPr>
                <w:rStyle w:val="Lienhypertexte"/>
                <w:sz w:val="19"/>
                <w:szCs w:val="19"/>
              </w:rPr>
              <w:t>Cessation des fonctions et révocation</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_Toc21339596 \h </w:instrText>
            </w:r>
            <w:r w:rsidR="003F2FAD" w:rsidRPr="00406EBF">
              <w:rPr>
                <w:webHidden/>
                <w:sz w:val="19"/>
                <w:szCs w:val="19"/>
              </w:rPr>
            </w:r>
            <w:r w:rsidR="003F2FAD" w:rsidRPr="00406EBF">
              <w:rPr>
                <w:webHidden/>
                <w:sz w:val="19"/>
                <w:szCs w:val="19"/>
              </w:rPr>
              <w:fldChar w:fldCharType="separate"/>
            </w:r>
            <w:r w:rsidR="000B25FF">
              <w:rPr>
                <w:webHidden/>
                <w:sz w:val="19"/>
                <w:szCs w:val="19"/>
              </w:rPr>
              <w:t>43</w:t>
            </w:r>
            <w:r w:rsidR="003F2FAD" w:rsidRPr="00406EBF">
              <w:rPr>
                <w:webHidden/>
                <w:sz w:val="19"/>
                <w:szCs w:val="19"/>
              </w:rPr>
              <w:fldChar w:fldCharType="end"/>
            </w:r>
          </w:hyperlink>
        </w:p>
        <w:p w14:paraId="34AF40D6" w14:textId="66DE277F" w:rsidR="003F2FAD" w:rsidRPr="00406EBF" w:rsidRDefault="007E6083">
          <w:pPr>
            <w:pStyle w:val="TM3"/>
            <w:rPr>
              <w:rFonts w:asciiTheme="minorHAnsi" w:eastAsiaTheme="minorEastAsia" w:hAnsiTheme="minorHAnsi" w:cstheme="minorBidi"/>
              <w:i w:val="0"/>
              <w:iCs w:val="0"/>
              <w:sz w:val="21"/>
              <w:szCs w:val="21"/>
              <w:lang w:val="fr-FR"/>
            </w:rPr>
          </w:pPr>
          <w:hyperlink w:anchor="_Toc21339597" w:history="1">
            <w:r w:rsidR="003F2FAD" w:rsidRPr="00406EBF">
              <w:rPr>
                <w:rStyle w:val="Lienhypertexte"/>
                <w:sz w:val="19"/>
                <w:szCs w:val="19"/>
              </w:rPr>
              <w:t>Salaire et avantages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_Toc21339597 \h </w:instrText>
            </w:r>
            <w:r w:rsidR="003F2FAD" w:rsidRPr="00406EBF">
              <w:rPr>
                <w:webHidden/>
                <w:sz w:val="19"/>
                <w:szCs w:val="19"/>
              </w:rPr>
            </w:r>
            <w:r w:rsidR="003F2FAD" w:rsidRPr="00406EBF">
              <w:rPr>
                <w:webHidden/>
                <w:sz w:val="19"/>
                <w:szCs w:val="19"/>
              </w:rPr>
              <w:fldChar w:fldCharType="separate"/>
            </w:r>
            <w:r w:rsidR="000B25FF">
              <w:rPr>
                <w:webHidden/>
                <w:sz w:val="19"/>
                <w:szCs w:val="19"/>
              </w:rPr>
              <w:t>43</w:t>
            </w:r>
            <w:r w:rsidR="003F2FAD" w:rsidRPr="00406EBF">
              <w:rPr>
                <w:webHidden/>
                <w:sz w:val="19"/>
                <w:szCs w:val="19"/>
              </w:rPr>
              <w:fldChar w:fldCharType="end"/>
            </w:r>
          </w:hyperlink>
        </w:p>
        <w:p w14:paraId="425727AF" w14:textId="2FB45761"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98" w:history="1">
            <w:r w:rsidR="003F2FAD" w:rsidRPr="00406EBF">
              <w:rPr>
                <w:rStyle w:val="Lienhypertexte"/>
                <w:noProof/>
                <w:sz w:val="19"/>
                <w:szCs w:val="19"/>
              </w:rPr>
              <w:t>Conflits d’intérêt</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_Toc21339598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45</w:t>
            </w:r>
            <w:r w:rsidR="003F2FAD" w:rsidRPr="00406EBF">
              <w:rPr>
                <w:noProof/>
                <w:webHidden/>
                <w:sz w:val="19"/>
                <w:szCs w:val="19"/>
              </w:rPr>
              <w:fldChar w:fldCharType="end"/>
            </w:r>
          </w:hyperlink>
        </w:p>
        <w:p w14:paraId="249A4B87" w14:textId="16385211"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599" w:history="1">
            <w:r w:rsidR="003F2FAD" w:rsidRPr="00406EBF">
              <w:rPr>
                <w:rStyle w:val="Lienhypertexte"/>
                <w:noProof/>
                <w:sz w:val="19"/>
                <w:szCs w:val="19"/>
              </w:rPr>
              <w:t>Interdiction ou limitation de certaines activités</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_Toc21339599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46</w:t>
            </w:r>
            <w:r w:rsidR="003F2FAD" w:rsidRPr="00406EBF">
              <w:rPr>
                <w:noProof/>
                <w:webHidden/>
                <w:sz w:val="19"/>
                <w:szCs w:val="19"/>
              </w:rPr>
              <w:fldChar w:fldCharType="end"/>
            </w:r>
          </w:hyperlink>
        </w:p>
        <w:p w14:paraId="4E50438C" w14:textId="618DE05E" w:rsidR="003F2FAD" w:rsidRPr="00406EBF" w:rsidRDefault="007E6083">
          <w:pPr>
            <w:pStyle w:val="TM3"/>
            <w:rPr>
              <w:rFonts w:asciiTheme="minorHAnsi" w:eastAsiaTheme="minorEastAsia" w:hAnsiTheme="minorHAnsi" w:cstheme="minorBidi"/>
              <w:i w:val="0"/>
              <w:iCs w:val="0"/>
              <w:sz w:val="21"/>
              <w:szCs w:val="21"/>
              <w:lang w:val="fr-FR"/>
            </w:rPr>
          </w:pPr>
          <w:hyperlink w:anchor="_Toc21339600" w:history="1">
            <w:r w:rsidR="003F2FAD" w:rsidRPr="00406EBF">
              <w:rPr>
                <w:rStyle w:val="Lienhypertexte"/>
                <w:sz w:val="19"/>
                <w:szCs w:val="19"/>
              </w:rPr>
              <w:t>Incompatibilités, activités accessoires et intérêts financiers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_Toc21339600 \h </w:instrText>
            </w:r>
            <w:r w:rsidR="003F2FAD" w:rsidRPr="00406EBF">
              <w:rPr>
                <w:webHidden/>
                <w:sz w:val="19"/>
                <w:szCs w:val="19"/>
              </w:rPr>
            </w:r>
            <w:r w:rsidR="003F2FAD" w:rsidRPr="00406EBF">
              <w:rPr>
                <w:webHidden/>
                <w:sz w:val="19"/>
                <w:szCs w:val="19"/>
              </w:rPr>
              <w:fldChar w:fldCharType="separate"/>
            </w:r>
            <w:r w:rsidR="000B25FF">
              <w:rPr>
                <w:webHidden/>
                <w:sz w:val="19"/>
                <w:szCs w:val="19"/>
              </w:rPr>
              <w:t>46</w:t>
            </w:r>
            <w:r w:rsidR="003F2FAD" w:rsidRPr="00406EBF">
              <w:rPr>
                <w:webHidden/>
                <w:sz w:val="19"/>
                <w:szCs w:val="19"/>
              </w:rPr>
              <w:fldChar w:fldCharType="end"/>
            </w:r>
          </w:hyperlink>
        </w:p>
        <w:p w14:paraId="783C32F7" w14:textId="7FE01459" w:rsidR="003F2FAD" w:rsidRPr="00406EBF" w:rsidRDefault="007E6083">
          <w:pPr>
            <w:pStyle w:val="TM3"/>
            <w:rPr>
              <w:rFonts w:asciiTheme="minorHAnsi" w:eastAsiaTheme="minorEastAsia" w:hAnsiTheme="minorHAnsi" w:cstheme="minorBidi"/>
              <w:i w:val="0"/>
              <w:iCs w:val="0"/>
              <w:sz w:val="21"/>
              <w:szCs w:val="21"/>
              <w:lang w:val="fr-FR"/>
            </w:rPr>
          </w:pPr>
          <w:hyperlink w:anchor="_Toc21339601" w:history="1">
            <w:r w:rsidR="003F2FAD" w:rsidRPr="00406EBF">
              <w:rPr>
                <w:rStyle w:val="Lienhypertexte"/>
                <w:sz w:val="19"/>
                <w:szCs w:val="19"/>
              </w:rPr>
              <w:t>Cadeaux</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_Toc21339601 \h </w:instrText>
            </w:r>
            <w:r w:rsidR="003F2FAD" w:rsidRPr="00406EBF">
              <w:rPr>
                <w:webHidden/>
                <w:sz w:val="19"/>
                <w:szCs w:val="19"/>
              </w:rPr>
            </w:r>
            <w:r w:rsidR="003F2FAD" w:rsidRPr="00406EBF">
              <w:rPr>
                <w:webHidden/>
                <w:sz w:val="19"/>
                <w:szCs w:val="19"/>
              </w:rPr>
              <w:fldChar w:fldCharType="separate"/>
            </w:r>
            <w:r w:rsidR="000B25FF">
              <w:rPr>
                <w:webHidden/>
                <w:sz w:val="19"/>
                <w:szCs w:val="19"/>
              </w:rPr>
              <w:t>47</w:t>
            </w:r>
            <w:r w:rsidR="003F2FAD" w:rsidRPr="00406EBF">
              <w:rPr>
                <w:webHidden/>
                <w:sz w:val="19"/>
                <w:szCs w:val="19"/>
              </w:rPr>
              <w:fldChar w:fldCharType="end"/>
            </w:r>
          </w:hyperlink>
        </w:p>
        <w:p w14:paraId="387C1728" w14:textId="08A18A32" w:rsidR="003F2FAD" w:rsidRPr="00406EBF" w:rsidRDefault="007E6083">
          <w:pPr>
            <w:pStyle w:val="TM3"/>
            <w:rPr>
              <w:rFonts w:asciiTheme="minorHAnsi" w:eastAsiaTheme="minorEastAsia" w:hAnsiTheme="minorHAnsi" w:cstheme="minorBidi"/>
              <w:i w:val="0"/>
              <w:iCs w:val="0"/>
              <w:sz w:val="21"/>
              <w:szCs w:val="21"/>
              <w:lang w:val="fr-FR"/>
            </w:rPr>
          </w:pPr>
          <w:hyperlink w:anchor="_Toc21339602" w:history="1">
            <w:r w:rsidR="003F2FAD" w:rsidRPr="00406EBF">
              <w:rPr>
                <w:rStyle w:val="Lienhypertexte"/>
                <w:sz w:val="19"/>
                <w:szCs w:val="19"/>
              </w:rPr>
              <w:t>Utilisation abusive de ressources publiques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_Toc21339602 \h </w:instrText>
            </w:r>
            <w:r w:rsidR="003F2FAD" w:rsidRPr="00406EBF">
              <w:rPr>
                <w:webHidden/>
                <w:sz w:val="19"/>
                <w:szCs w:val="19"/>
              </w:rPr>
            </w:r>
            <w:r w:rsidR="003F2FAD" w:rsidRPr="00406EBF">
              <w:rPr>
                <w:webHidden/>
                <w:sz w:val="19"/>
                <w:szCs w:val="19"/>
              </w:rPr>
              <w:fldChar w:fldCharType="separate"/>
            </w:r>
            <w:r w:rsidR="000B25FF">
              <w:rPr>
                <w:webHidden/>
                <w:sz w:val="19"/>
                <w:szCs w:val="19"/>
              </w:rPr>
              <w:t>47</w:t>
            </w:r>
            <w:r w:rsidR="003F2FAD" w:rsidRPr="00406EBF">
              <w:rPr>
                <w:webHidden/>
                <w:sz w:val="19"/>
                <w:szCs w:val="19"/>
              </w:rPr>
              <w:fldChar w:fldCharType="end"/>
            </w:r>
          </w:hyperlink>
        </w:p>
        <w:p w14:paraId="0B9122E4" w14:textId="4E1AD5FA" w:rsidR="003F2FAD" w:rsidRPr="00406EBF" w:rsidRDefault="007E6083">
          <w:pPr>
            <w:pStyle w:val="TM3"/>
            <w:rPr>
              <w:rFonts w:asciiTheme="minorHAnsi" w:eastAsiaTheme="minorEastAsia" w:hAnsiTheme="minorHAnsi" w:cstheme="minorBidi"/>
              <w:i w:val="0"/>
              <w:iCs w:val="0"/>
              <w:sz w:val="21"/>
              <w:szCs w:val="21"/>
              <w:lang w:val="fr-FR"/>
            </w:rPr>
          </w:pPr>
          <w:hyperlink w:anchor="_Toc21339603" w:history="1">
            <w:r w:rsidR="003F2FAD" w:rsidRPr="00406EBF">
              <w:rPr>
                <w:rStyle w:val="Lienhypertexte"/>
                <w:sz w:val="19"/>
                <w:szCs w:val="19"/>
              </w:rPr>
              <w:t>Contacts avec des tiers, données confidentielles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_Toc21339603 \h </w:instrText>
            </w:r>
            <w:r w:rsidR="003F2FAD" w:rsidRPr="00406EBF">
              <w:rPr>
                <w:webHidden/>
                <w:sz w:val="19"/>
                <w:szCs w:val="19"/>
              </w:rPr>
            </w:r>
            <w:r w:rsidR="003F2FAD" w:rsidRPr="00406EBF">
              <w:rPr>
                <w:webHidden/>
                <w:sz w:val="19"/>
                <w:szCs w:val="19"/>
              </w:rPr>
              <w:fldChar w:fldCharType="separate"/>
            </w:r>
            <w:r w:rsidR="000B25FF">
              <w:rPr>
                <w:webHidden/>
                <w:sz w:val="19"/>
                <w:szCs w:val="19"/>
              </w:rPr>
              <w:t>48</w:t>
            </w:r>
            <w:r w:rsidR="003F2FAD" w:rsidRPr="00406EBF">
              <w:rPr>
                <w:webHidden/>
                <w:sz w:val="19"/>
                <w:szCs w:val="19"/>
              </w:rPr>
              <w:fldChar w:fldCharType="end"/>
            </w:r>
          </w:hyperlink>
        </w:p>
        <w:p w14:paraId="59F431A2" w14:textId="5C6B5B49" w:rsidR="003F2FAD" w:rsidRPr="00406EBF" w:rsidRDefault="007E6083">
          <w:pPr>
            <w:pStyle w:val="TM3"/>
            <w:rPr>
              <w:rFonts w:asciiTheme="minorHAnsi" w:eastAsiaTheme="minorEastAsia" w:hAnsiTheme="minorHAnsi" w:cstheme="minorBidi"/>
              <w:i w:val="0"/>
              <w:iCs w:val="0"/>
              <w:sz w:val="21"/>
              <w:szCs w:val="21"/>
              <w:lang w:val="fr-FR"/>
            </w:rPr>
          </w:pPr>
          <w:hyperlink w:anchor="_Toc21339604" w:history="1">
            <w:r w:rsidR="003F2FAD" w:rsidRPr="00406EBF">
              <w:rPr>
                <w:rStyle w:val="Lienhypertexte"/>
                <w:sz w:val="19"/>
                <w:szCs w:val="19"/>
              </w:rPr>
              <w:t>Restrictions après la cessation de fonctions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_Toc21339604 \h </w:instrText>
            </w:r>
            <w:r w:rsidR="003F2FAD" w:rsidRPr="00406EBF">
              <w:rPr>
                <w:webHidden/>
                <w:sz w:val="19"/>
                <w:szCs w:val="19"/>
              </w:rPr>
            </w:r>
            <w:r w:rsidR="003F2FAD" w:rsidRPr="00406EBF">
              <w:rPr>
                <w:webHidden/>
                <w:sz w:val="19"/>
                <w:szCs w:val="19"/>
              </w:rPr>
              <w:fldChar w:fldCharType="separate"/>
            </w:r>
            <w:r w:rsidR="000B25FF">
              <w:rPr>
                <w:webHidden/>
                <w:sz w:val="19"/>
                <w:szCs w:val="19"/>
              </w:rPr>
              <w:t>48</w:t>
            </w:r>
            <w:r w:rsidR="003F2FAD" w:rsidRPr="00406EBF">
              <w:rPr>
                <w:webHidden/>
                <w:sz w:val="19"/>
                <w:szCs w:val="19"/>
              </w:rPr>
              <w:fldChar w:fldCharType="end"/>
            </w:r>
          </w:hyperlink>
        </w:p>
        <w:p w14:paraId="08210586" w14:textId="5F2E1E8A"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605" w:history="1">
            <w:r w:rsidR="003F2FAD" w:rsidRPr="00406EBF">
              <w:rPr>
                <w:rStyle w:val="Lienhypertexte"/>
                <w:noProof/>
                <w:sz w:val="19"/>
                <w:szCs w:val="19"/>
              </w:rPr>
              <w:t>Déclaration de patrimoine, de revenus, de passif et d’intérêts</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_Toc21339605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48</w:t>
            </w:r>
            <w:r w:rsidR="003F2FAD" w:rsidRPr="00406EBF">
              <w:rPr>
                <w:noProof/>
                <w:webHidden/>
                <w:sz w:val="19"/>
                <w:szCs w:val="19"/>
              </w:rPr>
              <w:fldChar w:fldCharType="end"/>
            </w:r>
          </w:hyperlink>
        </w:p>
        <w:p w14:paraId="75DD87D8" w14:textId="2B93FB75" w:rsidR="003F2FAD" w:rsidRPr="00406EBF" w:rsidRDefault="007E6083">
          <w:pPr>
            <w:pStyle w:val="TM2"/>
            <w:rPr>
              <w:rFonts w:asciiTheme="minorHAnsi" w:eastAsiaTheme="minorEastAsia" w:hAnsiTheme="minorHAnsi" w:cstheme="minorBidi"/>
              <w:smallCaps w:val="0"/>
              <w:noProof/>
              <w:sz w:val="21"/>
              <w:szCs w:val="21"/>
              <w:lang w:val="fr-FR"/>
            </w:rPr>
          </w:pPr>
          <w:hyperlink w:anchor="_Toc21339606" w:history="1">
            <w:r w:rsidR="003F2FAD" w:rsidRPr="00406EBF">
              <w:rPr>
                <w:rStyle w:val="Lienhypertexte"/>
                <w:noProof/>
                <w:sz w:val="19"/>
                <w:szCs w:val="19"/>
              </w:rPr>
              <w:t>Contrôle et application de la loi</w:t>
            </w:r>
            <w:r w:rsidR="003F2FAD" w:rsidRPr="00406EBF">
              <w:rPr>
                <w:noProof/>
                <w:webHidden/>
                <w:sz w:val="19"/>
                <w:szCs w:val="19"/>
              </w:rPr>
              <w:tab/>
            </w:r>
            <w:r w:rsidR="003F2FAD" w:rsidRPr="00406EBF">
              <w:rPr>
                <w:noProof/>
                <w:webHidden/>
                <w:sz w:val="19"/>
                <w:szCs w:val="19"/>
              </w:rPr>
              <w:fldChar w:fldCharType="begin"/>
            </w:r>
            <w:r w:rsidR="003F2FAD" w:rsidRPr="00406EBF">
              <w:rPr>
                <w:noProof/>
                <w:webHidden/>
                <w:sz w:val="19"/>
                <w:szCs w:val="19"/>
              </w:rPr>
              <w:instrText xml:space="preserve"> PAGEREF _Toc21339606 \h </w:instrText>
            </w:r>
            <w:r w:rsidR="003F2FAD" w:rsidRPr="00406EBF">
              <w:rPr>
                <w:noProof/>
                <w:webHidden/>
                <w:sz w:val="19"/>
                <w:szCs w:val="19"/>
              </w:rPr>
            </w:r>
            <w:r w:rsidR="003F2FAD" w:rsidRPr="00406EBF">
              <w:rPr>
                <w:noProof/>
                <w:webHidden/>
                <w:sz w:val="19"/>
                <w:szCs w:val="19"/>
              </w:rPr>
              <w:fldChar w:fldCharType="separate"/>
            </w:r>
            <w:r w:rsidR="000B25FF">
              <w:rPr>
                <w:noProof/>
                <w:webHidden/>
                <w:sz w:val="19"/>
                <w:szCs w:val="19"/>
              </w:rPr>
              <w:t>48</w:t>
            </w:r>
            <w:r w:rsidR="003F2FAD" w:rsidRPr="00406EBF">
              <w:rPr>
                <w:noProof/>
                <w:webHidden/>
                <w:sz w:val="19"/>
                <w:szCs w:val="19"/>
              </w:rPr>
              <w:fldChar w:fldCharType="end"/>
            </w:r>
          </w:hyperlink>
        </w:p>
        <w:p w14:paraId="4EB16314" w14:textId="4795AB38" w:rsidR="003F2FAD" w:rsidRPr="00406EBF" w:rsidRDefault="007E6083">
          <w:pPr>
            <w:pStyle w:val="TM3"/>
            <w:rPr>
              <w:rFonts w:asciiTheme="minorHAnsi" w:eastAsiaTheme="minorEastAsia" w:hAnsiTheme="minorHAnsi" w:cstheme="minorBidi"/>
              <w:i w:val="0"/>
              <w:iCs w:val="0"/>
              <w:sz w:val="21"/>
              <w:szCs w:val="21"/>
              <w:lang w:val="fr-FR"/>
            </w:rPr>
          </w:pPr>
          <w:hyperlink w:anchor="_Toc21339607" w:history="1">
            <w:r w:rsidR="003F2FAD" w:rsidRPr="00406EBF">
              <w:rPr>
                <w:rStyle w:val="Lienhypertexte"/>
                <w:sz w:val="19"/>
                <w:szCs w:val="19"/>
              </w:rPr>
              <w:t>Surveillance et contrôle internes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_Toc21339607 \h </w:instrText>
            </w:r>
            <w:r w:rsidR="003F2FAD" w:rsidRPr="00406EBF">
              <w:rPr>
                <w:webHidden/>
                <w:sz w:val="19"/>
                <w:szCs w:val="19"/>
              </w:rPr>
            </w:r>
            <w:r w:rsidR="003F2FAD" w:rsidRPr="00406EBF">
              <w:rPr>
                <w:webHidden/>
                <w:sz w:val="19"/>
                <w:szCs w:val="19"/>
              </w:rPr>
              <w:fldChar w:fldCharType="separate"/>
            </w:r>
            <w:r w:rsidR="000B25FF">
              <w:rPr>
                <w:webHidden/>
                <w:sz w:val="19"/>
                <w:szCs w:val="19"/>
              </w:rPr>
              <w:t>48</w:t>
            </w:r>
            <w:r w:rsidR="003F2FAD" w:rsidRPr="00406EBF">
              <w:rPr>
                <w:webHidden/>
                <w:sz w:val="19"/>
                <w:szCs w:val="19"/>
              </w:rPr>
              <w:fldChar w:fldCharType="end"/>
            </w:r>
          </w:hyperlink>
        </w:p>
        <w:p w14:paraId="0632C89E" w14:textId="3BF0960D" w:rsidR="003F2FAD" w:rsidRPr="00406EBF" w:rsidRDefault="007E6083">
          <w:pPr>
            <w:pStyle w:val="TM3"/>
            <w:rPr>
              <w:rFonts w:asciiTheme="minorHAnsi" w:eastAsiaTheme="minorEastAsia" w:hAnsiTheme="minorHAnsi" w:cstheme="minorBidi"/>
              <w:i w:val="0"/>
              <w:iCs w:val="0"/>
              <w:sz w:val="21"/>
              <w:szCs w:val="21"/>
              <w:lang w:val="fr-FR"/>
            </w:rPr>
          </w:pPr>
          <w:hyperlink w:anchor="_Toc21339608" w:history="1">
            <w:r w:rsidR="003F2FAD" w:rsidRPr="00406EBF">
              <w:rPr>
                <w:rStyle w:val="Lienhypertexte"/>
                <w:sz w:val="19"/>
                <w:szCs w:val="19"/>
              </w:rPr>
              <w:t>Surveillance et contrôle externes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_Toc21339608 \h </w:instrText>
            </w:r>
            <w:r w:rsidR="003F2FAD" w:rsidRPr="00406EBF">
              <w:rPr>
                <w:webHidden/>
                <w:sz w:val="19"/>
                <w:szCs w:val="19"/>
              </w:rPr>
            </w:r>
            <w:r w:rsidR="003F2FAD" w:rsidRPr="00406EBF">
              <w:rPr>
                <w:webHidden/>
                <w:sz w:val="19"/>
                <w:szCs w:val="19"/>
              </w:rPr>
              <w:fldChar w:fldCharType="separate"/>
            </w:r>
            <w:r w:rsidR="000B25FF">
              <w:rPr>
                <w:webHidden/>
                <w:sz w:val="19"/>
                <w:szCs w:val="19"/>
              </w:rPr>
              <w:t>50</w:t>
            </w:r>
            <w:r w:rsidR="003F2FAD" w:rsidRPr="00406EBF">
              <w:rPr>
                <w:webHidden/>
                <w:sz w:val="19"/>
                <w:szCs w:val="19"/>
              </w:rPr>
              <w:fldChar w:fldCharType="end"/>
            </w:r>
          </w:hyperlink>
        </w:p>
        <w:p w14:paraId="6546FA69" w14:textId="6382B849" w:rsidR="003F2FAD" w:rsidRPr="00406EBF" w:rsidRDefault="007E6083">
          <w:pPr>
            <w:pStyle w:val="TM3"/>
            <w:rPr>
              <w:rFonts w:asciiTheme="minorHAnsi" w:eastAsiaTheme="minorEastAsia" w:hAnsiTheme="minorHAnsi" w:cstheme="minorBidi"/>
              <w:i w:val="0"/>
              <w:iCs w:val="0"/>
              <w:sz w:val="21"/>
              <w:szCs w:val="21"/>
              <w:lang w:val="fr-FR"/>
            </w:rPr>
          </w:pPr>
          <w:hyperlink w:anchor="_Toc21339609" w:history="1">
            <w:r w:rsidR="003F2FAD" w:rsidRPr="00406EBF">
              <w:rPr>
                <w:rStyle w:val="Lienhypertexte"/>
                <w:sz w:val="19"/>
                <w:szCs w:val="19"/>
              </w:rPr>
              <w:t>Surveillance exercée par le public et la société civile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_Toc21339609 \h </w:instrText>
            </w:r>
            <w:r w:rsidR="003F2FAD" w:rsidRPr="00406EBF">
              <w:rPr>
                <w:webHidden/>
                <w:sz w:val="19"/>
                <w:szCs w:val="19"/>
              </w:rPr>
            </w:r>
            <w:r w:rsidR="003F2FAD" w:rsidRPr="00406EBF">
              <w:rPr>
                <w:webHidden/>
                <w:sz w:val="19"/>
                <w:szCs w:val="19"/>
              </w:rPr>
              <w:fldChar w:fldCharType="separate"/>
            </w:r>
            <w:r w:rsidR="000B25FF">
              <w:rPr>
                <w:webHidden/>
                <w:sz w:val="19"/>
                <w:szCs w:val="19"/>
              </w:rPr>
              <w:t>54</w:t>
            </w:r>
            <w:r w:rsidR="003F2FAD" w:rsidRPr="00406EBF">
              <w:rPr>
                <w:webHidden/>
                <w:sz w:val="19"/>
                <w:szCs w:val="19"/>
              </w:rPr>
              <w:fldChar w:fldCharType="end"/>
            </w:r>
          </w:hyperlink>
        </w:p>
        <w:p w14:paraId="6F018401" w14:textId="7C42BFDD" w:rsidR="003F2FAD" w:rsidRPr="00406EBF" w:rsidRDefault="007E6083">
          <w:pPr>
            <w:pStyle w:val="TM3"/>
            <w:rPr>
              <w:rFonts w:asciiTheme="minorHAnsi" w:eastAsiaTheme="minorEastAsia" w:hAnsiTheme="minorHAnsi" w:cstheme="minorBidi"/>
              <w:i w:val="0"/>
              <w:iCs w:val="0"/>
              <w:sz w:val="21"/>
              <w:szCs w:val="21"/>
              <w:lang w:val="fr-FR"/>
            </w:rPr>
          </w:pPr>
          <w:hyperlink w:anchor="_Toc21339610" w:history="1">
            <w:r w:rsidR="003F2FAD" w:rsidRPr="00406EBF">
              <w:rPr>
                <w:rStyle w:val="Lienhypertexte"/>
                <w:sz w:val="19"/>
                <w:szCs w:val="19"/>
              </w:rPr>
              <w:t>Obligation de signalement et protection des lanceurs d’alerte</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_Toc21339610 \h </w:instrText>
            </w:r>
            <w:r w:rsidR="003F2FAD" w:rsidRPr="00406EBF">
              <w:rPr>
                <w:webHidden/>
                <w:sz w:val="19"/>
                <w:szCs w:val="19"/>
              </w:rPr>
            </w:r>
            <w:r w:rsidR="003F2FAD" w:rsidRPr="00406EBF">
              <w:rPr>
                <w:webHidden/>
                <w:sz w:val="19"/>
                <w:szCs w:val="19"/>
              </w:rPr>
              <w:fldChar w:fldCharType="separate"/>
            </w:r>
            <w:r w:rsidR="000B25FF">
              <w:rPr>
                <w:webHidden/>
                <w:sz w:val="19"/>
                <w:szCs w:val="19"/>
              </w:rPr>
              <w:t>54</w:t>
            </w:r>
            <w:r w:rsidR="003F2FAD" w:rsidRPr="00406EBF">
              <w:rPr>
                <w:webHidden/>
                <w:sz w:val="19"/>
                <w:szCs w:val="19"/>
              </w:rPr>
              <w:fldChar w:fldCharType="end"/>
            </w:r>
          </w:hyperlink>
        </w:p>
        <w:p w14:paraId="28320FDA" w14:textId="1D17D3B6" w:rsidR="003F2FAD" w:rsidRPr="00406EBF" w:rsidRDefault="007E6083">
          <w:pPr>
            <w:pStyle w:val="TM3"/>
            <w:rPr>
              <w:rFonts w:asciiTheme="minorHAnsi" w:eastAsiaTheme="minorEastAsia" w:hAnsiTheme="minorHAnsi" w:cstheme="minorBidi"/>
              <w:i w:val="0"/>
              <w:iCs w:val="0"/>
              <w:sz w:val="21"/>
              <w:szCs w:val="21"/>
              <w:lang w:val="fr-FR"/>
            </w:rPr>
          </w:pPr>
          <w:hyperlink w:anchor="_Toc21339611" w:history="1">
            <w:r w:rsidR="003F2FAD" w:rsidRPr="00406EBF">
              <w:rPr>
                <w:rStyle w:val="Lienhypertexte"/>
                <w:sz w:val="19"/>
                <w:szCs w:val="19"/>
              </w:rPr>
              <w:t>Poursuites pénales et immunité</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_Toc21339611 \h </w:instrText>
            </w:r>
            <w:r w:rsidR="003F2FAD" w:rsidRPr="00406EBF">
              <w:rPr>
                <w:webHidden/>
                <w:sz w:val="19"/>
                <w:szCs w:val="19"/>
              </w:rPr>
            </w:r>
            <w:r w:rsidR="003F2FAD" w:rsidRPr="00406EBF">
              <w:rPr>
                <w:webHidden/>
                <w:sz w:val="19"/>
                <w:szCs w:val="19"/>
              </w:rPr>
              <w:fldChar w:fldCharType="separate"/>
            </w:r>
            <w:r w:rsidR="000B25FF">
              <w:rPr>
                <w:webHidden/>
                <w:sz w:val="19"/>
                <w:szCs w:val="19"/>
              </w:rPr>
              <w:t>55</w:t>
            </w:r>
            <w:r w:rsidR="003F2FAD" w:rsidRPr="00406EBF">
              <w:rPr>
                <w:webHidden/>
                <w:sz w:val="19"/>
                <w:szCs w:val="19"/>
              </w:rPr>
              <w:fldChar w:fldCharType="end"/>
            </w:r>
          </w:hyperlink>
        </w:p>
        <w:p w14:paraId="2396F0D8" w14:textId="64AC7CB3" w:rsidR="003F2FAD" w:rsidRPr="00406EBF" w:rsidRDefault="007E6083">
          <w:pPr>
            <w:pStyle w:val="TM3"/>
            <w:rPr>
              <w:rFonts w:asciiTheme="minorHAnsi" w:eastAsiaTheme="minorEastAsia" w:hAnsiTheme="minorHAnsi" w:cstheme="minorBidi"/>
              <w:i w:val="0"/>
              <w:iCs w:val="0"/>
              <w:sz w:val="21"/>
              <w:szCs w:val="21"/>
              <w:lang w:val="fr-FR"/>
            </w:rPr>
          </w:pPr>
          <w:hyperlink w:anchor="_Toc21339612" w:history="1">
            <w:r w:rsidR="003F2FAD" w:rsidRPr="00406EBF">
              <w:rPr>
                <w:rStyle w:val="Lienhypertexte"/>
                <w:sz w:val="19"/>
                <w:szCs w:val="19"/>
              </w:rPr>
              <w:t>Statistiques</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_Toc21339612 \h </w:instrText>
            </w:r>
            <w:r w:rsidR="003F2FAD" w:rsidRPr="00406EBF">
              <w:rPr>
                <w:webHidden/>
                <w:sz w:val="19"/>
                <w:szCs w:val="19"/>
              </w:rPr>
            </w:r>
            <w:r w:rsidR="003F2FAD" w:rsidRPr="00406EBF">
              <w:rPr>
                <w:webHidden/>
                <w:sz w:val="19"/>
                <w:szCs w:val="19"/>
              </w:rPr>
              <w:fldChar w:fldCharType="separate"/>
            </w:r>
            <w:r w:rsidR="000B25FF">
              <w:rPr>
                <w:webHidden/>
                <w:sz w:val="19"/>
                <w:szCs w:val="19"/>
              </w:rPr>
              <w:t>55</w:t>
            </w:r>
            <w:r w:rsidR="003F2FAD" w:rsidRPr="00406EBF">
              <w:rPr>
                <w:webHidden/>
                <w:sz w:val="19"/>
                <w:szCs w:val="19"/>
              </w:rPr>
              <w:fldChar w:fldCharType="end"/>
            </w:r>
          </w:hyperlink>
        </w:p>
        <w:p w14:paraId="70A24F5B" w14:textId="7AB9467C" w:rsidR="003F2FAD" w:rsidRPr="00406EBF" w:rsidRDefault="007E6083">
          <w:pPr>
            <w:pStyle w:val="TM1"/>
            <w:rPr>
              <w:rFonts w:asciiTheme="minorHAnsi" w:eastAsiaTheme="minorEastAsia" w:hAnsiTheme="minorHAnsi" w:cstheme="minorBidi"/>
              <w:b w:val="0"/>
              <w:bCs w:val="0"/>
              <w:iCs w:val="0"/>
              <w:caps w:val="0"/>
              <w:sz w:val="21"/>
              <w:szCs w:val="21"/>
            </w:rPr>
          </w:pPr>
          <w:hyperlink w:anchor="_Toc21339613" w:history="1">
            <w:r w:rsidR="003F2FAD" w:rsidRPr="00406EBF">
              <w:rPr>
                <w:rStyle w:val="Lienhypertexte"/>
                <w:sz w:val="19"/>
                <w:szCs w:val="19"/>
              </w:rPr>
              <w:t>VI.</w:t>
            </w:r>
            <w:r w:rsidR="003F2FAD" w:rsidRPr="00406EBF">
              <w:rPr>
                <w:rFonts w:asciiTheme="minorHAnsi" w:eastAsiaTheme="minorEastAsia" w:hAnsiTheme="minorHAnsi" w:cstheme="minorBidi"/>
                <w:b w:val="0"/>
                <w:bCs w:val="0"/>
                <w:iCs w:val="0"/>
                <w:caps w:val="0"/>
                <w:sz w:val="21"/>
                <w:szCs w:val="21"/>
              </w:rPr>
              <w:tab/>
            </w:r>
            <w:r w:rsidR="003F2FAD" w:rsidRPr="00406EBF">
              <w:rPr>
                <w:rStyle w:val="Lienhypertexte"/>
                <w:sz w:val="19"/>
                <w:szCs w:val="19"/>
              </w:rPr>
              <w:t>RECOMMANDATIONS ET SUIVI</w:t>
            </w:r>
            <w:r w:rsidR="003F2FAD" w:rsidRPr="00406EBF">
              <w:rPr>
                <w:webHidden/>
                <w:sz w:val="19"/>
                <w:szCs w:val="19"/>
              </w:rPr>
              <w:tab/>
            </w:r>
            <w:r w:rsidR="003F2FAD" w:rsidRPr="00406EBF">
              <w:rPr>
                <w:webHidden/>
                <w:sz w:val="19"/>
                <w:szCs w:val="19"/>
              </w:rPr>
              <w:fldChar w:fldCharType="begin"/>
            </w:r>
            <w:r w:rsidR="003F2FAD" w:rsidRPr="00406EBF">
              <w:rPr>
                <w:webHidden/>
                <w:sz w:val="19"/>
                <w:szCs w:val="19"/>
              </w:rPr>
              <w:instrText xml:space="preserve"> PAGEREF _Toc21339613 \h </w:instrText>
            </w:r>
            <w:r w:rsidR="003F2FAD" w:rsidRPr="00406EBF">
              <w:rPr>
                <w:webHidden/>
                <w:sz w:val="19"/>
                <w:szCs w:val="19"/>
              </w:rPr>
            </w:r>
            <w:r w:rsidR="003F2FAD" w:rsidRPr="00406EBF">
              <w:rPr>
                <w:webHidden/>
                <w:sz w:val="19"/>
                <w:szCs w:val="19"/>
              </w:rPr>
              <w:fldChar w:fldCharType="separate"/>
            </w:r>
            <w:r w:rsidR="000B25FF">
              <w:rPr>
                <w:webHidden/>
                <w:sz w:val="19"/>
                <w:szCs w:val="19"/>
              </w:rPr>
              <w:t>58</w:t>
            </w:r>
            <w:r w:rsidR="003F2FAD" w:rsidRPr="00406EBF">
              <w:rPr>
                <w:webHidden/>
                <w:sz w:val="19"/>
                <w:szCs w:val="19"/>
              </w:rPr>
              <w:fldChar w:fldCharType="end"/>
            </w:r>
          </w:hyperlink>
        </w:p>
        <w:p w14:paraId="1DCB3B70" w14:textId="77777777" w:rsidR="00FB38AB" w:rsidRPr="00406EBF" w:rsidRDefault="00714ED8" w:rsidP="001878CC">
          <w:pPr>
            <w:pStyle w:val="TM3"/>
            <w:rPr>
              <w:sz w:val="19"/>
              <w:szCs w:val="19"/>
              <w:lang w:val="fr-FR"/>
            </w:rPr>
          </w:pPr>
          <w:r w:rsidRPr="00406EBF">
            <w:rPr>
              <w:sz w:val="19"/>
              <w:szCs w:val="19"/>
              <w:lang w:val="fr-FR"/>
            </w:rPr>
            <w:fldChar w:fldCharType="end"/>
          </w:r>
        </w:p>
      </w:sdtContent>
    </w:sdt>
    <w:bookmarkEnd w:id="3"/>
    <w:bookmarkEnd w:id="2"/>
    <w:bookmarkEnd w:id="1"/>
    <w:p w14:paraId="18B40863" w14:textId="77777777" w:rsidR="00FB38AB" w:rsidRPr="00406EBF" w:rsidRDefault="00FB38AB" w:rsidP="001878CC">
      <w:pPr>
        <w:tabs>
          <w:tab w:val="left" w:pos="709"/>
        </w:tabs>
        <w:rPr>
          <w:rFonts w:eastAsia="Times New Roman"/>
          <w:b/>
          <w:bCs/>
          <w:sz w:val="19"/>
          <w:szCs w:val="19"/>
          <w:lang w:eastAsia="fr-FR"/>
        </w:rPr>
      </w:pPr>
      <w:r w:rsidRPr="00406EBF">
        <w:rPr>
          <w:sz w:val="19"/>
          <w:szCs w:val="19"/>
        </w:rPr>
        <w:br w:type="page"/>
      </w:r>
    </w:p>
    <w:p w14:paraId="4DB2897E" w14:textId="77777777" w:rsidR="00FB38AB" w:rsidRPr="00406EBF" w:rsidRDefault="00FB38AB" w:rsidP="001878CC">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4" w:name="_Toc21339549"/>
      <w:r w:rsidRPr="00406EBF">
        <w:rPr>
          <w:rFonts w:asciiTheme="minorHAnsi" w:hAnsiTheme="minorHAnsi" w:cstheme="minorHAnsi"/>
          <w:color w:val="auto"/>
          <w:sz w:val="23"/>
          <w:szCs w:val="23"/>
        </w:rPr>
        <w:lastRenderedPageBreak/>
        <w:t>I.</w:t>
      </w:r>
      <w:r w:rsidRPr="00406EBF">
        <w:rPr>
          <w:rFonts w:asciiTheme="minorHAnsi" w:hAnsiTheme="minorHAnsi" w:cstheme="minorHAnsi"/>
          <w:color w:val="auto"/>
          <w:sz w:val="23"/>
          <w:szCs w:val="23"/>
        </w:rPr>
        <w:tab/>
      </w:r>
      <w:r w:rsidR="00130B03" w:rsidRPr="00406EBF">
        <w:rPr>
          <w:rFonts w:asciiTheme="minorHAnsi" w:hAnsiTheme="minorHAnsi" w:cstheme="minorHAnsi"/>
          <w:color w:val="auto"/>
          <w:sz w:val="23"/>
          <w:szCs w:val="23"/>
          <w:u w:val="single"/>
        </w:rPr>
        <w:t>RÉSUMÉ</w:t>
      </w:r>
      <w:bookmarkEnd w:id="4"/>
    </w:p>
    <w:sdt>
      <w:sdtPr>
        <w:rPr>
          <w:rFonts w:asciiTheme="minorHAnsi" w:eastAsiaTheme="minorHAnsi" w:hAnsiTheme="minorHAnsi" w:cstheme="minorBidi"/>
          <w:b w:val="0"/>
          <w:bCs w:val="0"/>
          <w:color w:val="auto"/>
          <w:sz w:val="21"/>
          <w:szCs w:val="21"/>
          <w:lang w:val="en-US"/>
        </w:rPr>
        <w:tag w:val="{2C57B851-A6C3-44FF-B943-3AA4642F05D6}"/>
        <w:id w:val="676311204"/>
        <w:lock w:val="sdtLocked"/>
      </w:sdtPr>
      <w:sdtEndPr/>
      <w:sdtContent>
        <w:p w14:paraId="55518435" w14:textId="77777777" w:rsidR="00FB38AB" w:rsidRPr="00406EBF" w:rsidRDefault="00FB38AB" w:rsidP="001878CC">
          <w:pPr>
            <w:pStyle w:val="Titre1"/>
            <w:keepNext w:val="0"/>
            <w:keepLines w:val="0"/>
            <w:tabs>
              <w:tab w:val="left" w:pos="709"/>
            </w:tabs>
            <w:spacing w:before="0" w:line="240" w:lineRule="auto"/>
            <w:jc w:val="both"/>
            <w:rPr>
              <w:rFonts w:asciiTheme="minorHAnsi" w:hAnsiTheme="minorHAnsi"/>
              <w:color w:val="auto"/>
              <w:sz w:val="23"/>
              <w:szCs w:val="23"/>
            </w:rPr>
          </w:pPr>
        </w:p>
        <w:p w14:paraId="3349D280" w14:textId="77777777" w:rsidR="000D1F3D" w:rsidRPr="00406EBF" w:rsidRDefault="000D1F3D" w:rsidP="001878CC">
          <w:pPr>
            <w:numPr>
              <w:ilvl w:val="0"/>
              <w:numId w:val="1"/>
            </w:numPr>
            <w:tabs>
              <w:tab w:val="left" w:pos="709"/>
            </w:tabs>
            <w:spacing w:line="240" w:lineRule="auto"/>
            <w:ind w:left="0" w:firstLine="0"/>
            <w:jc w:val="both"/>
            <w:rPr>
              <w:sz w:val="23"/>
              <w:szCs w:val="23"/>
            </w:rPr>
          </w:pPr>
          <w:r w:rsidRPr="00406EBF">
            <w:rPr>
              <w:sz w:val="23"/>
              <w:szCs w:val="23"/>
            </w:rPr>
            <w:t xml:space="preserve">Ce rapport évalue l’efficacité du cadre existant en </w:t>
          </w:r>
          <w:r w:rsidR="002415C7" w:rsidRPr="00406EBF">
            <w:rPr>
              <w:sz w:val="23"/>
              <w:szCs w:val="23"/>
            </w:rPr>
            <w:t>Belgique</w:t>
          </w:r>
          <w:r w:rsidRPr="00406EBF">
            <w:rPr>
              <w:sz w:val="23"/>
              <w:szCs w:val="23"/>
            </w:rPr>
            <w:t xml:space="preserve"> pour prévenir la corruption parmi les personnes occupant de hautes fonctions de l’exécutif (ministres</w:t>
          </w:r>
          <w:r w:rsidR="003C1F0D" w:rsidRPr="00406EBF">
            <w:rPr>
              <w:sz w:val="23"/>
              <w:szCs w:val="23"/>
            </w:rPr>
            <w:t>, secrétaires d’Etat et membres influents des cabinets/organes stratégiques)</w:t>
          </w:r>
          <w:r w:rsidRPr="00406EBF">
            <w:rPr>
              <w:sz w:val="23"/>
              <w:szCs w:val="23"/>
            </w:rPr>
            <w:t xml:space="preserve"> et </w:t>
          </w:r>
          <w:r w:rsidR="003C1F0D" w:rsidRPr="00406EBF">
            <w:rPr>
              <w:sz w:val="23"/>
              <w:szCs w:val="23"/>
            </w:rPr>
            <w:t>au sein de la police fédérale</w:t>
          </w:r>
          <w:r w:rsidRPr="00406EBF">
            <w:rPr>
              <w:sz w:val="23"/>
              <w:szCs w:val="23"/>
            </w:rPr>
            <w:t>. Il vise à encourager une réflexion dans le pays sur les moyens de renforcer la transparence, l’intégrité et la responsabilité dans la vie publique.</w:t>
          </w:r>
        </w:p>
        <w:p w14:paraId="321D4BE5" w14:textId="77777777" w:rsidR="003C1F0D" w:rsidRPr="00406EBF" w:rsidRDefault="003C1F0D" w:rsidP="003C1F0D">
          <w:pPr>
            <w:tabs>
              <w:tab w:val="left" w:pos="709"/>
            </w:tabs>
            <w:spacing w:line="240" w:lineRule="auto"/>
            <w:jc w:val="both"/>
            <w:rPr>
              <w:sz w:val="23"/>
              <w:szCs w:val="23"/>
            </w:rPr>
          </w:pPr>
        </w:p>
        <w:p w14:paraId="28F57067" w14:textId="33BE5673" w:rsidR="003C1F0D" w:rsidRPr="00406EBF" w:rsidRDefault="003C1F0D" w:rsidP="001878CC">
          <w:pPr>
            <w:numPr>
              <w:ilvl w:val="0"/>
              <w:numId w:val="1"/>
            </w:numPr>
            <w:tabs>
              <w:tab w:val="left" w:pos="709"/>
            </w:tabs>
            <w:spacing w:line="240" w:lineRule="auto"/>
            <w:ind w:left="0" w:firstLine="0"/>
            <w:jc w:val="both"/>
            <w:rPr>
              <w:sz w:val="23"/>
              <w:szCs w:val="23"/>
            </w:rPr>
          </w:pPr>
          <w:r w:rsidRPr="00406EBF">
            <w:rPr>
              <w:sz w:val="23"/>
              <w:szCs w:val="23"/>
            </w:rPr>
            <w:t xml:space="preserve">Une telle réflexion s’avère tout particulièrement nécessaire pour les hauts responsables politiques au sein de l’exécutif, qui ne sont soumis à quasiment aucune règle en matière d’intégrité. Il n’y a </w:t>
          </w:r>
          <w:r w:rsidR="00D2597E">
            <w:rPr>
              <w:sz w:val="23"/>
              <w:szCs w:val="23"/>
            </w:rPr>
            <w:t xml:space="preserve">pour ainsi dire </w:t>
          </w:r>
          <w:r w:rsidRPr="00406EBF">
            <w:rPr>
              <w:sz w:val="23"/>
              <w:szCs w:val="23"/>
            </w:rPr>
            <w:t>pas de politique d’intégrité ni de cadre déontologique applicable aux ministres. L’engagement et la rémunération de</w:t>
          </w:r>
          <w:r w:rsidR="00412A90">
            <w:rPr>
              <w:sz w:val="23"/>
              <w:szCs w:val="23"/>
            </w:rPr>
            <w:t>s membres de leurs cabinets/organes stratégiques</w:t>
          </w:r>
          <w:r w:rsidRPr="00406EBF">
            <w:rPr>
              <w:sz w:val="23"/>
              <w:szCs w:val="23"/>
            </w:rPr>
            <w:t xml:space="preserve"> se fait à l’entière discrétion du ministre, dans la limite de l’enveloppe budgétaire qui lui est allouée. Il y très peu de règles sur les incompatibilités</w:t>
          </w:r>
          <w:r w:rsidR="009B2057" w:rsidRPr="00406EBF">
            <w:rPr>
              <w:sz w:val="23"/>
              <w:szCs w:val="23"/>
            </w:rPr>
            <w:t xml:space="preserve"> et les activités accessoires</w:t>
          </w:r>
          <w:r w:rsidR="001F0162" w:rsidRPr="00406EBF">
            <w:rPr>
              <w:sz w:val="23"/>
              <w:szCs w:val="23"/>
            </w:rPr>
            <w:t>,</w:t>
          </w:r>
          <w:r w:rsidR="008C0F5E" w:rsidRPr="00406EBF">
            <w:rPr>
              <w:sz w:val="23"/>
              <w:szCs w:val="23"/>
            </w:rPr>
            <w:t xml:space="preserve"> les conflits d’intérêts, les cadeaux</w:t>
          </w:r>
          <w:r w:rsidR="001F0162" w:rsidRPr="00406EBF">
            <w:rPr>
              <w:sz w:val="23"/>
              <w:szCs w:val="23"/>
            </w:rPr>
            <w:t xml:space="preserve"> et aucune sur</w:t>
          </w:r>
          <w:r w:rsidR="008C0F5E" w:rsidRPr="00406EBF">
            <w:rPr>
              <w:sz w:val="23"/>
              <w:szCs w:val="23"/>
            </w:rPr>
            <w:t xml:space="preserve"> les relations avec les tiers, le pantouflage etc. </w:t>
          </w:r>
          <w:r w:rsidRPr="00406EBF">
            <w:rPr>
              <w:sz w:val="23"/>
              <w:szCs w:val="23"/>
            </w:rPr>
            <w:t xml:space="preserve"> </w:t>
          </w:r>
        </w:p>
        <w:p w14:paraId="6AE5DB95" w14:textId="77777777" w:rsidR="00D04D79" w:rsidRPr="00406EBF" w:rsidRDefault="00D04D79" w:rsidP="00D04D79">
          <w:pPr>
            <w:pStyle w:val="Paragraphedeliste"/>
            <w:rPr>
              <w:sz w:val="23"/>
              <w:szCs w:val="23"/>
            </w:rPr>
          </w:pPr>
        </w:p>
        <w:p w14:paraId="0F25DDDD" w14:textId="77777777" w:rsidR="00D04D79" w:rsidRPr="00406EBF" w:rsidRDefault="00D04D79" w:rsidP="001878CC">
          <w:pPr>
            <w:numPr>
              <w:ilvl w:val="0"/>
              <w:numId w:val="1"/>
            </w:numPr>
            <w:tabs>
              <w:tab w:val="left" w:pos="709"/>
            </w:tabs>
            <w:spacing w:line="240" w:lineRule="auto"/>
            <w:ind w:left="0" w:firstLine="0"/>
            <w:jc w:val="both"/>
            <w:rPr>
              <w:sz w:val="23"/>
              <w:szCs w:val="23"/>
            </w:rPr>
          </w:pPr>
          <w:r w:rsidRPr="00406EBF">
            <w:rPr>
              <w:sz w:val="23"/>
              <w:szCs w:val="23"/>
            </w:rPr>
            <w:t xml:space="preserve">Des efforts soutenus devront donc être menés pour encadrer les conditions de recrutement et d’emploi des membres des cabinets et rendre leur activité plus transparente, </w:t>
          </w:r>
          <w:r w:rsidR="00231F31" w:rsidRPr="00406EBF">
            <w:rPr>
              <w:sz w:val="23"/>
              <w:szCs w:val="23"/>
            </w:rPr>
            <w:t xml:space="preserve">ainsi que </w:t>
          </w:r>
          <w:r w:rsidRPr="00406EBF">
            <w:rPr>
              <w:sz w:val="23"/>
              <w:szCs w:val="23"/>
            </w:rPr>
            <w:t>pour doter l’ensemble des personnes occupant de hautes fonctions de l’exécutif d’un cadre déontologique adéquat</w:t>
          </w:r>
          <w:r w:rsidR="00231F31" w:rsidRPr="00406EBF">
            <w:rPr>
              <w:sz w:val="23"/>
              <w:szCs w:val="23"/>
            </w:rPr>
            <w:t xml:space="preserve"> comblant les lacunes identifiées ci-dessus</w:t>
          </w:r>
          <w:r w:rsidRPr="00406EBF">
            <w:rPr>
              <w:sz w:val="23"/>
              <w:szCs w:val="23"/>
            </w:rPr>
            <w:t>,</w:t>
          </w:r>
          <w:r w:rsidR="00A06073" w:rsidRPr="00406EBF">
            <w:rPr>
              <w:sz w:val="23"/>
              <w:szCs w:val="23"/>
            </w:rPr>
            <w:t xml:space="preserve"> associé à un mécanisme de mise en œuvre et à des activités de sensibilisation. </w:t>
          </w:r>
        </w:p>
        <w:p w14:paraId="3ABD2F24" w14:textId="77777777" w:rsidR="00231F31" w:rsidRPr="00406EBF" w:rsidRDefault="00231F31" w:rsidP="00231F31">
          <w:pPr>
            <w:pStyle w:val="Paragraphedeliste"/>
            <w:rPr>
              <w:sz w:val="23"/>
              <w:szCs w:val="23"/>
            </w:rPr>
          </w:pPr>
        </w:p>
        <w:p w14:paraId="06C65957" w14:textId="77777777" w:rsidR="00231F31" w:rsidRPr="00406EBF" w:rsidRDefault="00231F31" w:rsidP="00231F31">
          <w:pPr>
            <w:numPr>
              <w:ilvl w:val="0"/>
              <w:numId w:val="1"/>
            </w:numPr>
            <w:tabs>
              <w:tab w:val="left" w:pos="709"/>
            </w:tabs>
            <w:spacing w:line="240" w:lineRule="auto"/>
            <w:ind w:left="0" w:firstLine="0"/>
            <w:jc w:val="both"/>
            <w:rPr>
              <w:sz w:val="23"/>
              <w:szCs w:val="23"/>
            </w:rPr>
          </w:pPr>
          <w:r w:rsidRPr="00406EBF">
            <w:rPr>
              <w:sz w:val="23"/>
              <w:szCs w:val="23"/>
            </w:rPr>
            <w:t xml:space="preserve">Certaines améliorations du régime des déclarations de mandat ont déjà eu lieu à la suite de recommandations données par le GRECO dans </w:t>
          </w:r>
          <w:r w:rsidR="00D37E76">
            <w:rPr>
              <w:sz w:val="23"/>
              <w:szCs w:val="23"/>
            </w:rPr>
            <w:t>le quatrième cy</w:t>
          </w:r>
          <w:r w:rsidRPr="00406EBF">
            <w:rPr>
              <w:sz w:val="23"/>
              <w:szCs w:val="23"/>
            </w:rPr>
            <w:t>cle d’évaluation. Les avancées dans ce domaine doivent se poursuivre, afin que le système de déclaration donne une vue plus complète des possibles conflits d’intérêts des hauts responsables de l’exécutif et permette de détecter un éventuel enrichissement illicite. La publication de ces déclarations doit en outre se faire en temps plus opportun</w:t>
          </w:r>
          <w:r w:rsidRPr="00406EBF">
            <w:rPr>
              <w:sz w:val="23"/>
              <w:szCs w:val="24"/>
            </w:rPr>
            <w:t xml:space="preserve"> et un contrôle effectif des déclarations </w:t>
          </w:r>
          <w:r w:rsidRPr="00406EBF">
            <w:rPr>
              <w:sz w:val="23"/>
              <w:szCs w:val="23"/>
            </w:rPr>
            <w:t>doit avoir lieu.</w:t>
          </w:r>
        </w:p>
        <w:p w14:paraId="025E093E" w14:textId="77777777" w:rsidR="00020175" w:rsidRPr="00406EBF" w:rsidRDefault="00020175" w:rsidP="00020175">
          <w:pPr>
            <w:pStyle w:val="Paragraphedeliste"/>
            <w:rPr>
              <w:sz w:val="23"/>
              <w:szCs w:val="23"/>
            </w:rPr>
          </w:pPr>
        </w:p>
        <w:p w14:paraId="6C95508F" w14:textId="4FAF604B" w:rsidR="00020175" w:rsidRPr="00406EBF" w:rsidRDefault="007B62F8" w:rsidP="00231F31">
          <w:pPr>
            <w:numPr>
              <w:ilvl w:val="0"/>
              <w:numId w:val="1"/>
            </w:numPr>
            <w:tabs>
              <w:tab w:val="left" w:pos="709"/>
            </w:tabs>
            <w:spacing w:line="240" w:lineRule="auto"/>
            <w:ind w:left="0" w:firstLine="0"/>
            <w:jc w:val="both"/>
            <w:rPr>
              <w:sz w:val="23"/>
              <w:szCs w:val="23"/>
            </w:rPr>
          </w:pPr>
          <w:r w:rsidRPr="00406EBF">
            <w:rPr>
              <w:sz w:val="23"/>
              <w:szCs w:val="23"/>
            </w:rPr>
            <w:t>La police fédérale belge jouit d’une bonne image auprès de la population, mais souffre d’un manque de moyens qui</w:t>
          </w:r>
          <w:r w:rsidR="00434477" w:rsidRPr="00406EBF">
            <w:rPr>
              <w:sz w:val="23"/>
              <w:szCs w:val="23"/>
            </w:rPr>
            <w:t xml:space="preserve"> affecte notamment les services chargés de la prévention et de la lutte contre la corruption. La police fédérale a ainsi réalisé il y a quelques années un travail de qualité concernant l’analyse de l’intégrité et de la corruption en son sein, mais ce travail ne semble pas avoir été poursuivi plus récemment. </w:t>
          </w:r>
          <w:r w:rsidR="00743870" w:rsidRPr="00406EBF">
            <w:rPr>
              <w:sz w:val="23"/>
              <w:szCs w:val="23"/>
            </w:rPr>
            <w:t xml:space="preserve">Un code de déontologie complet existe mais il date de 2006 et doit être mis à jour. Le contrôle d’intégrité réalisé lors de l’entrée dans la police est sérieux et complet, mais aucun contrôle n’est réalisé pendant la suite de la carrière, alors que de nouveaux facteurs de risque peuvent apparaître. </w:t>
          </w:r>
          <w:r w:rsidR="003E011E" w:rsidRPr="00406EBF">
            <w:rPr>
              <w:sz w:val="23"/>
              <w:szCs w:val="23"/>
            </w:rPr>
            <w:t>Il est donc important que ce contrôle soit renouvelé à intervalles réguliers et notamment lors du recrutement à certains postes sensibles.</w:t>
          </w:r>
        </w:p>
        <w:p w14:paraId="37407144" w14:textId="77777777" w:rsidR="00743870" w:rsidRPr="00406EBF" w:rsidRDefault="00743870" w:rsidP="00743870">
          <w:pPr>
            <w:pStyle w:val="Paragraphedeliste"/>
            <w:rPr>
              <w:sz w:val="23"/>
              <w:szCs w:val="23"/>
            </w:rPr>
          </w:pPr>
        </w:p>
        <w:p w14:paraId="3E461D16" w14:textId="77777777" w:rsidR="00743870" w:rsidRPr="00406EBF" w:rsidRDefault="003E011E" w:rsidP="00231F31">
          <w:pPr>
            <w:numPr>
              <w:ilvl w:val="0"/>
              <w:numId w:val="1"/>
            </w:numPr>
            <w:tabs>
              <w:tab w:val="left" w:pos="709"/>
            </w:tabs>
            <w:spacing w:line="240" w:lineRule="auto"/>
            <w:ind w:left="0" w:firstLine="0"/>
            <w:jc w:val="both"/>
            <w:rPr>
              <w:sz w:val="23"/>
              <w:szCs w:val="24"/>
            </w:rPr>
          </w:pPr>
          <w:r w:rsidRPr="00406EBF">
            <w:rPr>
              <w:sz w:val="23"/>
              <w:szCs w:val="23"/>
            </w:rPr>
            <w:t>Le GRECO appelle également la police fédérale à réexaminer le système d’autorisation d’activités accessoires des policiers, qui est passé récemment d’une pratique restrictive à une autorisation presque totale. Ce changement de régime pose de nombreuses questions sous l’angle de la prévention des conflits d’intérêts et de la gestion du temps de travail</w:t>
          </w:r>
          <w:r w:rsidR="00406EBF" w:rsidRPr="00406EBF">
            <w:rPr>
              <w:sz w:val="23"/>
              <w:szCs w:val="23"/>
            </w:rPr>
            <w:t>. L’exercice d’activités accessoires doit être encadré par des critères transparents et un contrôle effectif. De manière plus générale, c’est l’ensemble du système de contrôle interne qui doit être plus proactif. Quant aux organes de contrôle externes, ils doivent être informés en temps utile des ouvertures d’enquête et des condamnations visant des policiers, ce qui n’est pas le cas à l’heure actuelle.</w:t>
          </w:r>
        </w:p>
        <w:p w14:paraId="22D6B79A" w14:textId="77777777" w:rsidR="00FB38AB" w:rsidRPr="00406EBF" w:rsidRDefault="00FB38AB" w:rsidP="001878CC">
          <w:pPr>
            <w:tabs>
              <w:tab w:val="left" w:pos="709"/>
            </w:tabs>
            <w:spacing w:line="240" w:lineRule="auto"/>
            <w:jc w:val="both"/>
            <w:rPr>
              <w:rFonts w:eastAsia="Times New Roman"/>
              <w:b/>
              <w:bCs/>
              <w:sz w:val="21"/>
              <w:szCs w:val="21"/>
              <w:lang w:eastAsia="fr-FR"/>
            </w:rPr>
          </w:pPr>
          <w:bookmarkStart w:id="5" w:name="_Toc329187446"/>
          <w:r w:rsidRPr="00406EBF">
            <w:rPr>
              <w:sz w:val="21"/>
              <w:szCs w:val="21"/>
            </w:rPr>
            <w:br w:type="page"/>
          </w:r>
        </w:p>
      </w:sdtContent>
    </w:sdt>
    <w:p w14:paraId="224E43EC" w14:textId="77777777" w:rsidR="00FB38AB" w:rsidRPr="00406EBF" w:rsidRDefault="00A910A1" w:rsidP="001878CC">
      <w:pPr>
        <w:pStyle w:val="Titre1"/>
        <w:keepNext w:val="0"/>
        <w:keepLines w:val="0"/>
        <w:tabs>
          <w:tab w:val="left" w:pos="709"/>
        </w:tabs>
        <w:spacing w:before="0" w:line="240" w:lineRule="auto"/>
        <w:jc w:val="both"/>
        <w:rPr>
          <w:rFonts w:asciiTheme="minorHAnsi" w:hAnsiTheme="minorHAnsi"/>
          <w:color w:val="auto"/>
          <w:sz w:val="23"/>
          <w:szCs w:val="23"/>
        </w:rPr>
      </w:pPr>
      <w:bookmarkStart w:id="6" w:name="_Toc21339550"/>
      <w:r w:rsidRPr="00406EBF">
        <w:rPr>
          <w:rFonts w:asciiTheme="minorHAnsi" w:hAnsiTheme="minorHAnsi"/>
          <w:color w:val="auto"/>
          <w:sz w:val="23"/>
          <w:szCs w:val="23"/>
        </w:rPr>
        <w:lastRenderedPageBreak/>
        <w:t>I</w:t>
      </w:r>
      <w:r w:rsidR="00FB38AB" w:rsidRPr="00406EBF">
        <w:rPr>
          <w:rFonts w:asciiTheme="minorHAnsi" w:hAnsiTheme="minorHAnsi"/>
          <w:color w:val="auto"/>
          <w:sz w:val="23"/>
          <w:szCs w:val="23"/>
        </w:rPr>
        <w:t>I.</w:t>
      </w:r>
      <w:r w:rsidR="00FB38AB" w:rsidRPr="00406EBF">
        <w:rPr>
          <w:rFonts w:asciiTheme="minorHAnsi" w:hAnsiTheme="minorHAnsi"/>
          <w:color w:val="auto"/>
          <w:sz w:val="23"/>
          <w:szCs w:val="23"/>
        </w:rPr>
        <w:tab/>
      </w:r>
      <w:r w:rsidR="00FB38AB" w:rsidRPr="00406EBF">
        <w:rPr>
          <w:rFonts w:asciiTheme="minorHAnsi" w:hAnsiTheme="minorHAnsi"/>
          <w:color w:val="auto"/>
          <w:sz w:val="23"/>
          <w:szCs w:val="23"/>
          <w:u w:val="single"/>
        </w:rPr>
        <w:t xml:space="preserve">INTRODUCTION </w:t>
      </w:r>
      <w:r w:rsidR="00795E60" w:rsidRPr="00406EBF">
        <w:rPr>
          <w:rFonts w:asciiTheme="minorHAnsi" w:hAnsiTheme="minorHAnsi"/>
          <w:color w:val="auto"/>
          <w:sz w:val="23"/>
          <w:szCs w:val="23"/>
          <w:u w:val="single"/>
        </w:rPr>
        <w:t>ET</w:t>
      </w:r>
      <w:r w:rsidR="00FB38AB" w:rsidRPr="00406EBF">
        <w:rPr>
          <w:rFonts w:asciiTheme="minorHAnsi" w:hAnsiTheme="minorHAnsi"/>
          <w:color w:val="auto"/>
          <w:sz w:val="23"/>
          <w:szCs w:val="23"/>
          <w:u w:val="single"/>
        </w:rPr>
        <w:t xml:space="preserve"> </w:t>
      </w:r>
      <w:r w:rsidR="00795E60" w:rsidRPr="00406EBF">
        <w:rPr>
          <w:rFonts w:asciiTheme="minorHAnsi" w:hAnsiTheme="minorHAnsi" w:cstheme="minorHAnsi"/>
          <w:color w:val="auto"/>
          <w:sz w:val="23"/>
          <w:szCs w:val="23"/>
          <w:u w:val="single"/>
        </w:rPr>
        <w:t>MÉ</w:t>
      </w:r>
      <w:r w:rsidR="00FB38AB" w:rsidRPr="00406EBF">
        <w:rPr>
          <w:rFonts w:asciiTheme="minorHAnsi" w:hAnsiTheme="minorHAnsi"/>
          <w:color w:val="auto"/>
          <w:sz w:val="23"/>
          <w:szCs w:val="23"/>
          <w:u w:val="single"/>
        </w:rPr>
        <w:t>THODOLOG</w:t>
      </w:r>
      <w:r w:rsidR="00795E60" w:rsidRPr="00406EBF">
        <w:rPr>
          <w:rFonts w:asciiTheme="minorHAnsi" w:hAnsiTheme="minorHAnsi"/>
          <w:color w:val="auto"/>
          <w:sz w:val="23"/>
          <w:szCs w:val="23"/>
          <w:u w:val="single"/>
        </w:rPr>
        <w:t>IE</w:t>
      </w:r>
      <w:bookmarkEnd w:id="5"/>
      <w:bookmarkEnd w:id="6"/>
    </w:p>
    <w:sdt>
      <w:sdtPr>
        <w:rPr>
          <w:rFonts w:asciiTheme="minorHAnsi" w:eastAsiaTheme="minorHAnsi" w:hAnsiTheme="minorHAnsi" w:cstheme="minorBidi"/>
          <w:b w:val="0"/>
          <w:bCs w:val="0"/>
          <w:color w:val="auto"/>
          <w:sz w:val="21"/>
          <w:szCs w:val="21"/>
          <w:lang w:val="en-US"/>
        </w:rPr>
        <w:tag w:val="{C786CD6C-CE3F-43D7-8B91-D5880C35DF62}"/>
        <w:id w:val="-727607359"/>
        <w:lock w:val="sdtLocked"/>
      </w:sdtPr>
      <w:sdtEndPr/>
      <w:sdtContent>
        <w:p w14:paraId="2F907852" w14:textId="77777777" w:rsidR="00FB38AB" w:rsidRPr="00406EBF" w:rsidRDefault="00FB38AB" w:rsidP="001878CC">
          <w:pPr>
            <w:pStyle w:val="Titre1"/>
            <w:keepNext w:val="0"/>
            <w:keepLines w:val="0"/>
            <w:tabs>
              <w:tab w:val="left" w:pos="709"/>
            </w:tabs>
            <w:spacing w:before="0" w:line="240" w:lineRule="auto"/>
            <w:jc w:val="both"/>
            <w:rPr>
              <w:rFonts w:asciiTheme="minorHAnsi" w:hAnsiTheme="minorHAnsi"/>
              <w:color w:val="auto"/>
              <w:sz w:val="23"/>
              <w:szCs w:val="23"/>
            </w:rPr>
          </w:pPr>
        </w:p>
        <w:p w14:paraId="5464B57C" w14:textId="77777777" w:rsidR="00163773" w:rsidRPr="00406EBF" w:rsidRDefault="002415C7" w:rsidP="001878CC">
          <w:pPr>
            <w:numPr>
              <w:ilvl w:val="0"/>
              <w:numId w:val="1"/>
            </w:numPr>
            <w:tabs>
              <w:tab w:val="left" w:pos="709"/>
            </w:tabs>
            <w:spacing w:line="240" w:lineRule="auto"/>
            <w:ind w:left="0" w:firstLine="0"/>
            <w:jc w:val="both"/>
            <w:rPr>
              <w:sz w:val="23"/>
              <w:szCs w:val="23"/>
            </w:rPr>
          </w:pPr>
          <w:r w:rsidRPr="00406EBF">
            <w:rPr>
              <w:sz w:val="23"/>
              <w:szCs w:val="23"/>
            </w:rPr>
            <w:t>La Belgique</w:t>
          </w:r>
          <w:r w:rsidR="0008272B" w:rsidRPr="00406EBF">
            <w:rPr>
              <w:sz w:val="23"/>
              <w:szCs w:val="23"/>
            </w:rPr>
            <w:t xml:space="preserve"> a adhéré au </w:t>
          </w:r>
          <w:r w:rsidR="00163773" w:rsidRPr="00406EBF">
            <w:rPr>
              <w:sz w:val="23"/>
              <w:szCs w:val="23"/>
            </w:rPr>
            <w:t xml:space="preserve">GRECO </w:t>
          </w:r>
          <w:r w:rsidR="0008272B" w:rsidRPr="00406EBF">
            <w:rPr>
              <w:sz w:val="23"/>
              <w:szCs w:val="23"/>
            </w:rPr>
            <w:t>e</w:t>
          </w:r>
          <w:r w:rsidR="00163773" w:rsidRPr="00406EBF">
            <w:rPr>
              <w:sz w:val="23"/>
              <w:szCs w:val="23"/>
            </w:rPr>
            <w:t>n 1999</w:t>
          </w:r>
          <w:r w:rsidR="0008272B" w:rsidRPr="00406EBF">
            <w:rPr>
              <w:sz w:val="23"/>
              <w:szCs w:val="23"/>
            </w:rPr>
            <w:t xml:space="preserve"> et a fait l’objet d’une évaluation dans le cadre des Premier (</w:t>
          </w:r>
          <w:r w:rsidRPr="00406EBF">
            <w:rPr>
              <w:sz w:val="23"/>
              <w:szCs w:val="23"/>
            </w:rPr>
            <w:t>octobre 2000</w:t>
          </w:r>
          <w:r w:rsidR="0008272B" w:rsidRPr="00406EBF">
            <w:rPr>
              <w:sz w:val="23"/>
              <w:szCs w:val="23"/>
            </w:rPr>
            <w:t>), Deuxième (</w:t>
          </w:r>
          <w:r w:rsidRPr="00406EBF">
            <w:rPr>
              <w:sz w:val="23"/>
              <w:szCs w:val="23"/>
            </w:rPr>
            <w:t>avril</w:t>
          </w:r>
          <w:r w:rsidR="0008272B" w:rsidRPr="00406EBF">
            <w:rPr>
              <w:sz w:val="23"/>
              <w:szCs w:val="23"/>
            </w:rPr>
            <w:t> 2004), Troisième (</w:t>
          </w:r>
          <w:r w:rsidRPr="00406EBF">
            <w:rPr>
              <w:sz w:val="23"/>
              <w:szCs w:val="23"/>
            </w:rPr>
            <w:t>novembre</w:t>
          </w:r>
          <w:r w:rsidR="0008272B" w:rsidRPr="00406EBF">
            <w:rPr>
              <w:sz w:val="23"/>
              <w:szCs w:val="23"/>
            </w:rPr>
            <w:t xml:space="preserve"> 200</w:t>
          </w:r>
          <w:r w:rsidRPr="00406EBF">
            <w:rPr>
              <w:sz w:val="23"/>
              <w:szCs w:val="23"/>
            </w:rPr>
            <w:t>8</w:t>
          </w:r>
          <w:r w:rsidR="0008272B" w:rsidRPr="00406EBF">
            <w:rPr>
              <w:sz w:val="23"/>
              <w:szCs w:val="23"/>
            </w:rPr>
            <w:t>) et Quatrième (</w:t>
          </w:r>
          <w:r w:rsidRPr="00406EBF">
            <w:rPr>
              <w:sz w:val="23"/>
              <w:szCs w:val="23"/>
            </w:rPr>
            <w:t>octobre 2013</w:t>
          </w:r>
          <w:r w:rsidR="0008272B" w:rsidRPr="00406EBF">
            <w:rPr>
              <w:sz w:val="23"/>
              <w:szCs w:val="23"/>
            </w:rPr>
            <w:t>) Cycles d’Évaluation du GRECO. Les Rapports d’Évaluation, ainsi que les Rapports de Conformité ultérieurs, peuvent être consultés sur le site internet du GRECO (</w:t>
          </w:r>
          <w:hyperlink r:id="rId21" w:history="1">
            <w:r w:rsidR="0008272B" w:rsidRPr="00406EBF">
              <w:rPr>
                <w:rStyle w:val="Lienhypertexte"/>
                <w:sz w:val="23"/>
                <w:szCs w:val="23"/>
              </w:rPr>
              <w:t>www.coe.int/greco</w:t>
            </w:r>
          </w:hyperlink>
          <w:r w:rsidR="0008272B" w:rsidRPr="00406EBF">
            <w:rPr>
              <w:sz w:val="23"/>
              <w:szCs w:val="23"/>
            </w:rPr>
            <w:t>). Le Cinquième Cycle d’Évaluation a été lancé le 1</w:t>
          </w:r>
          <w:r w:rsidR="0008272B" w:rsidRPr="00406EBF">
            <w:rPr>
              <w:sz w:val="23"/>
              <w:szCs w:val="23"/>
              <w:vertAlign w:val="superscript"/>
            </w:rPr>
            <w:t>er </w:t>
          </w:r>
          <w:r w:rsidR="0008272B" w:rsidRPr="00406EBF">
            <w:rPr>
              <w:sz w:val="23"/>
              <w:szCs w:val="23"/>
            </w:rPr>
            <w:t>janvier 2017</w:t>
          </w:r>
          <w:r w:rsidR="00163773" w:rsidRPr="00406EBF">
            <w:rPr>
              <w:rStyle w:val="Appelnotedebasdep"/>
              <w:sz w:val="23"/>
              <w:szCs w:val="23"/>
            </w:rPr>
            <w:footnoteReference w:id="1"/>
          </w:r>
          <w:r w:rsidR="00C66AF6" w:rsidRPr="00406EBF">
            <w:rPr>
              <w:sz w:val="23"/>
              <w:szCs w:val="23"/>
            </w:rPr>
            <w:t>.</w:t>
          </w:r>
        </w:p>
        <w:p w14:paraId="36932BC4" w14:textId="77777777" w:rsidR="00163773" w:rsidRPr="00406EBF" w:rsidRDefault="00163773" w:rsidP="001878CC">
          <w:pPr>
            <w:tabs>
              <w:tab w:val="left" w:pos="709"/>
            </w:tabs>
            <w:spacing w:line="240" w:lineRule="auto"/>
            <w:jc w:val="both"/>
            <w:rPr>
              <w:sz w:val="23"/>
              <w:szCs w:val="23"/>
            </w:rPr>
          </w:pPr>
        </w:p>
        <w:p w14:paraId="4702D040" w14:textId="77777777" w:rsidR="00163773" w:rsidRPr="00406EBF" w:rsidRDefault="00CD04F1" w:rsidP="001878CC">
          <w:pPr>
            <w:numPr>
              <w:ilvl w:val="0"/>
              <w:numId w:val="1"/>
            </w:numPr>
            <w:tabs>
              <w:tab w:val="left" w:pos="709"/>
            </w:tabs>
            <w:spacing w:line="240" w:lineRule="auto"/>
            <w:ind w:left="0" w:firstLine="0"/>
            <w:jc w:val="both"/>
            <w:rPr>
              <w:sz w:val="23"/>
              <w:szCs w:val="23"/>
            </w:rPr>
          </w:pPr>
          <w:r w:rsidRPr="00406EBF">
            <w:rPr>
              <w:sz w:val="23"/>
              <w:szCs w:val="23"/>
            </w:rPr>
            <w:t xml:space="preserve">Le présent rapport a pour but d’évaluer l’efficacité des mesures adoptées par les autorités de </w:t>
          </w:r>
          <w:r w:rsidR="002415C7" w:rsidRPr="00406EBF">
            <w:rPr>
              <w:sz w:val="23"/>
              <w:szCs w:val="23"/>
            </w:rPr>
            <w:t>la Belgique</w:t>
          </w:r>
          <w:r w:rsidRPr="00406EBF">
            <w:rPr>
              <w:color w:val="000000"/>
              <w:sz w:val="23"/>
              <w:szCs w:val="23"/>
            </w:rPr>
            <w:t xml:space="preserve"> pour </w:t>
          </w:r>
          <w:r w:rsidRPr="00406EBF">
            <w:rPr>
              <w:sz w:val="23"/>
              <w:szCs w:val="23"/>
            </w:rPr>
            <w:t xml:space="preserve">prévenir la corruption et promouvoir l’intégrité au sein des gouvernements centraux (hautes fonctions de l’exécutif) et des services de répression. Il présente un tableau critique de la situation, qui repose sur l’examen des efforts engagés par les acteurs concernés et des résultats obtenus. Il identifie les lacunes éventuelles et formule des recommandations en vue d’améliorations. Conformément à la pratique du GRECO, les recommandations sont adressées, par l’intermédiaire du chef de la délégation </w:t>
          </w:r>
          <w:r w:rsidR="00C44BE8">
            <w:rPr>
              <w:sz w:val="23"/>
              <w:szCs w:val="23"/>
            </w:rPr>
            <w:t>belge</w:t>
          </w:r>
          <w:r w:rsidRPr="00406EBF">
            <w:rPr>
              <w:sz w:val="23"/>
              <w:szCs w:val="23"/>
            </w:rPr>
            <w:t xml:space="preserve"> au GRECO, aux autorités de </w:t>
          </w:r>
          <w:r w:rsidR="002415C7" w:rsidRPr="00406EBF">
            <w:rPr>
              <w:sz w:val="23"/>
              <w:szCs w:val="23"/>
            </w:rPr>
            <w:t>la Belgique</w:t>
          </w:r>
          <w:r w:rsidRPr="00406EBF">
            <w:rPr>
              <w:color w:val="000000"/>
              <w:sz w:val="23"/>
              <w:szCs w:val="23"/>
            </w:rPr>
            <w:t xml:space="preserve"> qui décident quelles </w:t>
          </w:r>
          <w:r w:rsidRPr="00406EBF">
            <w:rPr>
              <w:sz w:val="23"/>
              <w:szCs w:val="23"/>
            </w:rPr>
            <w:t xml:space="preserve">institutions et/ou organes nationaux sont chargés de prendre les mesures requises. </w:t>
          </w:r>
          <w:r w:rsidR="002415C7" w:rsidRPr="00406EBF">
            <w:rPr>
              <w:sz w:val="23"/>
              <w:szCs w:val="23"/>
            </w:rPr>
            <w:t>La Belgique</w:t>
          </w:r>
          <w:r w:rsidRPr="00406EBF">
            <w:rPr>
              <w:color w:val="000000"/>
              <w:sz w:val="23"/>
              <w:szCs w:val="23"/>
            </w:rPr>
            <w:t xml:space="preserve"> devra présenter un rap</w:t>
          </w:r>
          <w:r w:rsidRPr="00406EBF">
            <w:rPr>
              <w:sz w:val="23"/>
              <w:szCs w:val="23"/>
            </w:rPr>
            <w:t>port sur les mesures adoptées en réponse aux recommandations du GRECO dans un délai de 18 mois après l’adoption de ce rapport</w:t>
          </w:r>
          <w:r w:rsidR="00163773" w:rsidRPr="00406EBF">
            <w:rPr>
              <w:sz w:val="23"/>
              <w:szCs w:val="23"/>
            </w:rPr>
            <w:t xml:space="preserve">. </w:t>
          </w:r>
        </w:p>
        <w:p w14:paraId="51FBFD1E" w14:textId="77777777" w:rsidR="00D00E60" w:rsidRPr="00406EBF" w:rsidRDefault="00D00E60" w:rsidP="001878CC">
          <w:pPr>
            <w:spacing w:line="240" w:lineRule="auto"/>
            <w:jc w:val="both"/>
            <w:rPr>
              <w:sz w:val="23"/>
              <w:szCs w:val="23"/>
            </w:rPr>
          </w:pPr>
        </w:p>
        <w:p w14:paraId="4B2A47E2" w14:textId="77777777" w:rsidR="00163773" w:rsidRPr="00406EBF" w:rsidRDefault="00CD04F1" w:rsidP="001878CC">
          <w:pPr>
            <w:numPr>
              <w:ilvl w:val="0"/>
              <w:numId w:val="1"/>
            </w:numPr>
            <w:tabs>
              <w:tab w:val="left" w:pos="709"/>
            </w:tabs>
            <w:spacing w:line="240" w:lineRule="auto"/>
            <w:ind w:left="0" w:firstLine="0"/>
            <w:jc w:val="both"/>
            <w:rPr>
              <w:sz w:val="23"/>
              <w:szCs w:val="23"/>
            </w:rPr>
          </w:pPr>
          <w:r w:rsidRPr="00406EBF">
            <w:rPr>
              <w:sz w:val="23"/>
              <w:szCs w:val="23"/>
            </w:rPr>
            <w:t xml:space="preserve">Pour </w:t>
          </w:r>
          <w:r w:rsidR="00163773" w:rsidRPr="00406EBF">
            <w:rPr>
              <w:sz w:val="23"/>
              <w:szCs w:val="23"/>
            </w:rPr>
            <w:t>pr</w:t>
          </w:r>
          <w:r w:rsidRPr="00406EBF">
            <w:rPr>
              <w:sz w:val="23"/>
              <w:szCs w:val="23"/>
            </w:rPr>
            <w:t>é</w:t>
          </w:r>
          <w:r w:rsidR="00163773" w:rsidRPr="00406EBF">
            <w:rPr>
              <w:sz w:val="23"/>
              <w:szCs w:val="23"/>
            </w:rPr>
            <w:t>pare</w:t>
          </w:r>
          <w:r w:rsidRPr="00406EBF">
            <w:rPr>
              <w:sz w:val="23"/>
              <w:szCs w:val="23"/>
            </w:rPr>
            <w:t>r ce</w:t>
          </w:r>
          <w:r w:rsidR="00163773" w:rsidRPr="00406EBF">
            <w:rPr>
              <w:sz w:val="23"/>
              <w:szCs w:val="23"/>
            </w:rPr>
            <w:t xml:space="preserve"> r</w:t>
          </w:r>
          <w:r w:rsidRPr="00406EBF">
            <w:rPr>
              <w:sz w:val="23"/>
              <w:szCs w:val="23"/>
            </w:rPr>
            <w:t>ap</w:t>
          </w:r>
          <w:r w:rsidR="00163773" w:rsidRPr="00406EBF">
            <w:rPr>
              <w:sz w:val="23"/>
              <w:szCs w:val="23"/>
            </w:rPr>
            <w:t xml:space="preserve">port, </w:t>
          </w:r>
          <w:r w:rsidRPr="00406EBF">
            <w:rPr>
              <w:sz w:val="23"/>
              <w:szCs w:val="23"/>
            </w:rPr>
            <w:t xml:space="preserve">une équipe d’évaluation du </w:t>
          </w:r>
          <w:r w:rsidR="00163773" w:rsidRPr="00406EBF">
            <w:rPr>
              <w:sz w:val="23"/>
              <w:szCs w:val="23"/>
            </w:rPr>
            <w:t>GRECO (</w:t>
          </w:r>
          <w:r w:rsidRPr="00406EBF">
            <w:rPr>
              <w:sz w:val="23"/>
              <w:szCs w:val="23"/>
            </w:rPr>
            <w:t>ci</w:t>
          </w:r>
          <w:r w:rsidRPr="00406EBF">
            <w:rPr>
              <w:sz w:val="23"/>
              <w:szCs w:val="23"/>
            </w:rPr>
            <w:noBreakHyphen/>
            <w:t xml:space="preserve">après </w:t>
          </w:r>
          <w:r w:rsidR="00795E60" w:rsidRPr="00406EBF">
            <w:rPr>
              <w:sz w:val="23"/>
              <w:szCs w:val="23"/>
            </w:rPr>
            <w:t>« l’EEG »</w:t>
          </w:r>
          <w:r w:rsidR="00163773" w:rsidRPr="00406EBF">
            <w:rPr>
              <w:sz w:val="23"/>
              <w:szCs w:val="23"/>
            </w:rPr>
            <w:t>)</w:t>
          </w:r>
          <w:r w:rsidR="001546CC" w:rsidRPr="00406EBF">
            <w:rPr>
              <w:sz w:val="23"/>
              <w:szCs w:val="23"/>
            </w:rPr>
            <w:t xml:space="preserve"> s’est rendue </w:t>
          </w:r>
          <w:r w:rsidR="0098705E" w:rsidRPr="00406EBF">
            <w:rPr>
              <w:sz w:val="23"/>
              <w:szCs w:val="23"/>
            </w:rPr>
            <w:t xml:space="preserve">en </w:t>
          </w:r>
          <w:r w:rsidR="002415C7" w:rsidRPr="00406EBF">
            <w:rPr>
              <w:sz w:val="23"/>
              <w:szCs w:val="23"/>
            </w:rPr>
            <w:t>Belgique</w:t>
          </w:r>
          <w:r w:rsidR="00083979" w:rsidRPr="00406EBF">
            <w:rPr>
              <w:color w:val="000000"/>
              <w:sz w:val="23"/>
              <w:szCs w:val="23"/>
            </w:rPr>
            <w:t xml:space="preserve"> </w:t>
          </w:r>
          <w:r w:rsidRPr="00406EBF">
            <w:rPr>
              <w:color w:val="000000"/>
              <w:sz w:val="23"/>
              <w:szCs w:val="23"/>
            </w:rPr>
            <w:t xml:space="preserve">du </w:t>
          </w:r>
          <w:r w:rsidR="002415C7" w:rsidRPr="00406EBF">
            <w:rPr>
              <w:color w:val="000000"/>
              <w:sz w:val="23"/>
              <w:szCs w:val="23"/>
            </w:rPr>
            <w:t>3</w:t>
          </w:r>
          <w:r w:rsidR="00163773" w:rsidRPr="00406EBF">
            <w:rPr>
              <w:sz w:val="23"/>
              <w:szCs w:val="23"/>
            </w:rPr>
            <w:t xml:space="preserve"> </w:t>
          </w:r>
          <w:r w:rsidRPr="00406EBF">
            <w:rPr>
              <w:sz w:val="23"/>
              <w:szCs w:val="23"/>
            </w:rPr>
            <w:t>au</w:t>
          </w:r>
          <w:r w:rsidR="00163773" w:rsidRPr="00406EBF">
            <w:rPr>
              <w:sz w:val="23"/>
              <w:szCs w:val="23"/>
            </w:rPr>
            <w:t xml:space="preserve"> </w:t>
          </w:r>
          <w:r w:rsidR="002415C7" w:rsidRPr="00406EBF">
            <w:rPr>
              <w:sz w:val="23"/>
              <w:szCs w:val="23"/>
            </w:rPr>
            <w:t>7</w:t>
          </w:r>
          <w:r w:rsidR="00163773" w:rsidRPr="00406EBF">
            <w:rPr>
              <w:sz w:val="23"/>
              <w:szCs w:val="23"/>
            </w:rPr>
            <w:t xml:space="preserve"> </w:t>
          </w:r>
          <w:r w:rsidR="002415C7" w:rsidRPr="00406EBF">
            <w:rPr>
              <w:sz w:val="23"/>
              <w:szCs w:val="23"/>
            </w:rPr>
            <w:t xml:space="preserve">juin </w:t>
          </w:r>
          <w:r w:rsidR="003F2FAD" w:rsidRPr="00406EBF">
            <w:rPr>
              <w:sz w:val="23"/>
              <w:szCs w:val="23"/>
            </w:rPr>
            <w:t>2019 ;</w:t>
          </w:r>
          <w:r w:rsidRPr="00406EBF">
            <w:rPr>
              <w:sz w:val="23"/>
              <w:szCs w:val="23"/>
            </w:rPr>
            <w:t xml:space="preserve"> les réponses de </w:t>
          </w:r>
          <w:r w:rsidR="002415C7" w:rsidRPr="00406EBF">
            <w:rPr>
              <w:sz w:val="23"/>
              <w:szCs w:val="23"/>
            </w:rPr>
            <w:t>la Belgique au Questionnaire d’Évaluation</w:t>
          </w:r>
          <w:r w:rsidRPr="00406EBF">
            <w:rPr>
              <w:sz w:val="23"/>
              <w:szCs w:val="23"/>
            </w:rPr>
            <w:t>, ainsi que d’autres informations reçues par le GRECO, notamment de la société civile, ont également été prises en compte</w:t>
          </w:r>
          <w:r w:rsidR="00163773" w:rsidRPr="00406EBF">
            <w:rPr>
              <w:sz w:val="23"/>
              <w:szCs w:val="23"/>
            </w:rPr>
            <w:t xml:space="preserve">. </w:t>
          </w:r>
          <w:r w:rsidR="00795E60" w:rsidRPr="00406EBF">
            <w:rPr>
              <w:sz w:val="23"/>
              <w:szCs w:val="23"/>
            </w:rPr>
            <w:t>L’EEG</w:t>
          </w:r>
          <w:r w:rsidR="00163773" w:rsidRPr="00406EBF">
            <w:rPr>
              <w:sz w:val="23"/>
              <w:szCs w:val="23"/>
            </w:rPr>
            <w:t xml:space="preserve"> </w:t>
          </w:r>
          <w:r w:rsidRPr="00406EBF">
            <w:rPr>
              <w:sz w:val="23"/>
              <w:szCs w:val="23"/>
            </w:rPr>
            <w:t xml:space="preserve">était </w:t>
          </w:r>
          <w:r w:rsidR="00163773" w:rsidRPr="00406EBF">
            <w:rPr>
              <w:sz w:val="23"/>
              <w:szCs w:val="23"/>
            </w:rPr>
            <w:t>compos</w:t>
          </w:r>
          <w:r w:rsidRPr="00406EBF">
            <w:rPr>
              <w:sz w:val="23"/>
              <w:szCs w:val="23"/>
            </w:rPr>
            <w:t>é</w:t>
          </w:r>
          <w:r w:rsidR="00163773" w:rsidRPr="00406EBF">
            <w:rPr>
              <w:sz w:val="23"/>
              <w:szCs w:val="23"/>
            </w:rPr>
            <w:t>e</w:t>
          </w:r>
          <w:r w:rsidRPr="00406EBF">
            <w:rPr>
              <w:sz w:val="23"/>
              <w:szCs w:val="23"/>
            </w:rPr>
            <w:t xml:space="preserve"> de : </w:t>
          </w:r>
          <w:r w:rsidR="00CB6CA0" w:rsidRPr="00406EBF">
            <w:rPr>
              <w:sz w:val="23"/>
              <w:szCs w:val="23"/>
            </w:rPr>
            <w:t xml:space="preserve">M. Olivier GONIN, Collaborateur scientifique, Unité du droit pénal international, Office fédéral de la Justice (Suisse), M. Frédéric GUTIERREZ LE SAUX, Commissaire Divisionnaire de Police, Chef du Service de la Police aux Frontières, de l’Immigration et de la Sécurité Routière (Andorre), M. Jean-Baptiste PARLOS, Magistrat judiciaire, Conseiller à la chambre criminelle de la Cour de Cassation (France) et Mme Patricia WEICKER, </w:t>
          </w:r>
          <w:r w:rsidR="00D119F2" w:rsidRPr="00406EBF">
            <w:rPr>
              <w:sz w:val="23"/>
              <w:szCs w:val="23"/>
            </w:rPr>
            <w:t>Membre de la Direction Centrale Police Judiciaire de la Police grand-ducale (</w:t>
          </w:r>
          <w:r w:rsidR="00E93FAA" w:rsidRPr="00406EBF">
            <w:rPr>
              <w:sz w:val="23"/>
              <w:szCs w:val="23"/>
            </w:rPr>
            <w:t>Luxembourg)</w:t>
          </w:r>
          <w:r w:rsidR="00832F51" w:rsidRPr="00406EBF">
            <w:rPr>
              <w:sz w:val="23"/>
              <w:szCs w:val="23"/>
            </w:rPr>
            <w:t>.</w:t>
          </w:r>
          <w:r w:rsidR="00D00E60" w:rsidRPr="00406EBF">
            <w:rPr>
              <w:sz w:val="23"/>
              <w:szCs w:val="23"/>
            </w:rPr>
            <w:t xml:space="preserve"> </w:t>
          </w:r>
          <w:r w:rsidR="00795E60" w:rsidRPr="00406EBF">
            <w:rPr>
              <w:sz w:val="23"/>
              <w:szCs w:val="23"/>
            </w:rPr>
            <w:t>L’EEG</w:t>
          </w:r>
          <w:r w:rsidR="00163773" w:rsidRPr="00406EBF">
            <w:rPr>
              <w:sz w:val="23"/>
              <w:szCs w:val="23"/>
            </w:rPr>
            <w:t xml:space="preserve"> a</w:t>
          </w:r>
          <w:r w:rsidRPr="00406EBF">
            <w:rPr>
              <w:sz w:val="23"/>
              <w:szCs w:val="23"/>
            </w:rPr>
            <w:t xml:space="preserve"> également bénéficié de l’aide de</w:t>
          </w:r>
          <w:r w:rsidR="00CB6CA0" w:rsidRPr="00406EBF">
            <w:rPr>
              <w:sz w:val="23"/>
              <w:szCs w:val="23"/>
            </w:rPr>
            <w:t xml:space="preserve"> Sophie </w:t>
          </w:r>
          <w:r w:rsidR="00832F51" w:rsidRPr="00406EBF">
            <w:rPr>
              <w:sz w:val="23"/>
              <w:szCs w:val="23"/>
            </w:rPr>
            <w:t>MEUDAL-LEENDERS</w:t>
          </w:r>
          <w:r w:rsidRPr="00406EBF">
            <w:rPr>
              <w:sz w:val="23"/>
              <w:szCs w:val="23"/>
            </w:rPr>
            <w:t xml:space="preserve"> du </w:t>
          </w:r>
          <w:r w:rsidR="00163773" w:rsidRPr="00406EBF">
            <w:rPr>
              <w:sz w:val="23"/>
              <w:szCs w:val="23"/>
            </w:rPr>
            <w:t>Secr</w:t>
          </w:r>
          <w:r w:rsidRPr="00406EBF">
            <w:rPr>
              <w:sz w:val="23"/>
              <w:szCs w:val="23"/>
            </w:rPr>
            <w:t>é</w:t>
          </w:r>
          <w:r w:rsidR="00163773" w:rsidRPr="00406EBF">
            <w:rPr>
              <w:sz w:val="23"/>
              <w:szCs w:val="23"/>
            </w:rPr>
            <w:t>tariat</w:t>
          </w:r>
          <w:r w:rsidRPr="00406EBF">
            <w:rPr>
              <w:sz w:val="23"/>
              <w:szCs w:val="23"/>
            </w:rPr>
            <w:t xml:space="preserve"> du GRECO</w:t>
          </w:r>
          <w:r w:rsidR="00163773" w:rsidRPr="00406EBF">
            <w:rPr>
              <w:sz w:val="23"/>
              <w:szCs w:val="23"/>
            </w:rPr>
            <w:t>.</w:t>
          </w:r>
        </w:p>
        <w:p w14:paraId="301476BB" w14:textId="77777777" w:rsidR="00FB38AB" w:rsidRPr="00406EBF" w:rsidRDefault="00FB38AB" w:rsidP="001878CC">
          <w:pPr>
            <w:tabs>
              <w:tab w:val="left" w:pos="709"/>
            </w:tabs>
            <w:spacing w:line="240" w:lineRule="auto"/>
            <w:jc w:val="both"/>
            <w:rPr>
              <w:sz w:val="23"/>
              <w:szCs w:val="23"/>
            </w:rPr>
          </w:pPr>
        </w:p>
        <w:p w14:paraId="1C1B9E4E" w14:textId="70D0F324" w:rsidR="00D119F2" w:rsidRPr="00406EBF" w:rsidRDefault="00795E60" w:rsidP="00FD0268">
          <w:pPr>
            <w:numPr>
              <w:ilvl w:val="0"/>
              <w:numId w:val="1"/>
            </w:numPr>
            <w:tabs>
              <w:tab w:val="left" w:pos="709"/>
              <w:tab w:val="num" w:pos="4536"/>
            </w:tabs>
            <w:autoSpaceDE w:val="0"/>
            <w:autoSpaceDN w:val="0"/>
            <w:adjustRightInd w:val="0"/>
            <w:spacing w:line="240" w:lineRule="auto"/>
            <w:ind w:left="0" w:firstLine="0"/>
            <w:jc w:val="both"/>
            <w:rPr>
              <w:rFonts w:cstheme="minorHAnsi"/>
              <w:sz w:val="23"/>
              <w:szCs w:val="24"/>
            </w:rPr>
          </w:pPr>
          <w:r w:rsidRPr="00406EBF">
            <w:rPr>
              <w:sz w:val="23"/>
              <w:szCs w:val="24"/>
            </w:rPr>
            <w:t>L’EEG</w:t>
          </w:r>
          <w:r w:rsidR="00A250C8" w:rsidRPr="00406EBF">
            <w:rPr>
              <w:sz w:val="23"/>
              <w:szCs w:val="24"/>
            </w:rPr>
            <w:t xml:space="preserve"> s’est entretenue avec des </w:t>
          </w:r>
          <w:r w:rsidR="00FB38AB" w:rsidRPr="00406EBF">
            <w:rPr>
              <w:sz w:val="23"/>
              <w:szCs w:val="24"/>
            </w:rPr>
            <w:t>repr</w:t>
          </w:r>
          <w:r w:rsidR="00A250C8" w:rsidRPr="00406EBF">
            <w:rPr>
              <w:sz w:val="23"/>
              <w:szCs w:val="24"/>
            </w:rPr>
            <w:t>é</w:t>
          </w:r>
          <w:r w:rsidR="00FB38AB" w:rsidRPr="00406EBF">
            <w:rPr>
              <w:sz w:val="23"/>
              <w:szCs w:val="24"/>
            </w:rPr>
            <w:t>senta</w:t>
          </w:r>
          <w:r w:rsidR="00A250C8" w:rsidRPr="00406EBF">
            <w:rPr>
              <w:sz w:val="23"/>
              <w:szCs w:val="24"/>
            </w:rPr>
            <w:t>nt</w:t>
          </w:r>
          <w:r w:rsidR="00FB38AB" w:rsidRPr="00406EBF">
            <w:rPr>
              <w:sz w:val="23"/>
              <w:szCs w:val="24"/>
            </w:rPr>
            <w:t>s</w:t>
          </w:r>
          <w:r w:rsidR="00D119F2" w:rsidRPr="00406EBF">
            <w:rPr>
              <w:sz w:val="23"/>
              <w:szCs w:val="24"/>
            </w:rPr>
            <w:t xml:space="preserve"> </w:t>
          </w:r>
          <w:r w:rsidR="00D119F2" w:rsidRPr="00406EBF">
            <w:rPr>
              <w:rFonts w:cstheme="minorHAnsi"/>
              <w:sz w:val="23"/>
              <w:szCs w:val="24"/>
            </w:rPr>
            <w:t xml:space="preserve">des institutions </w:t>
          </w:r>
          <w:r w:rsidR="00E93FAA" w:rsidRPr="00406EBF">
            <w:rPr>
              <w:rFonts w:cstheme="minorHAnsi"/>
              <w:sz w:val="23"/>
              <w:szCs w:val="23"/>
            </w:rPr>
            <w:t>suivantes :</w:t>
          </w:r>
          <w:r w:rsidR="00D119F2" w:rsidRPr="00406EBF">
            <w:rPr>
              <w:rFonts w:cstheme="minorHAnsi"/>
              <w:sz w:val="23"/>
              <w:szCs w:val="24"/>
            </w:rPr>
            <w:t xml:space="preserve"> </w:t>
          </w:r>
          <w:r w:rsidR="00D77E31">
            <w:rPr>
              <w:rFonts w:cstheme="minorHAnsi"/>
              <w:sz w:val="23"/>
              <w:szCs w:val="24"/>
            </w:rPr>
            <w:t xml:space="preserve">Chambre des </w:t>
          </w:r>
          <w:r w:rsidR="000B25FF">
            <w:rPr>
              <w:rFonts w:cstheme="minorHAnsi"/>
              <w:sz w:val="23"/>
              <w:szCs w:val="24"/>
            </w:rPr>
            <w:t>r</w:t>
          </w:r>
          <w:r w:rsidR="00D77E31">
            <w:rPr>
              <w:rFonts w:cstheme="minorHAnsi"/>
              <w:sz w:val="23"/>
              <w:szCs w:val="24"/>
            </w:rPr>
            <w:t xml:space="preserve">eprésentants, </w:t>
          </w:r>
          <w:r w:rsidR="00D119F2" w:rsidRPr="00406EBF">
            <w:rPr>
              <w:rFonts w:cstheme="minorHAnsi"/>
              <w:sz w:val="23"/>
              <w:szCs w:val="24"/>
            </w:rPr>
            <w:t>S</w:t>
          </w:r>
          <w:r w:rsidR="00E93FAA" w:rsidRPr="00406EBF">
            <w:rPr>
              <w:rFonts w:cstheme="minorHAnsi"/>
              <w:sz w:val="23"/>
              <w:szCs w:val="24"/>
            </w:rPr>
            <w:t>ervice public fédéral (S</w:t>
          </w:r>
          <w:r w:rsidR="00D119F2" w:rsidRPr="00406EBF">
            <w:rPr>
              <w:rFonts w:cstheme="minorHAnsi"/>
              <w:sz w:val="23"/>
              <w:szCs w:val="24"/>
            </w:rPr>
            <w:t>PF</w:t>
          </w:r>
          <w:r w:rsidR="00E93FAA" w:rsidRPr="00406EBF">
            <w:rPr>
              <w:rFonts w:cstheme="minorHAnsi"/>
              <w:sz w:val="23"/>
              <w:szCs w:val="24"/>
            </w:rPr>
            <w:t>)</w:t>
          </w:r>
          <w:r w:rsidR="00D119F2" w:rsidRPr="00406EBF">
            <w:rPr>
              <w:rFonts w:cstheme="minorHAnsi"/>
              <w:sz w:val="23"/>
              <w:szCs w:val="24"/>
            </w:rPr>
            <w:t xml:space="preserve"> </w:t>
          </w:r>
          <w:r w:rsidR="00562AA4">
            <w:rPr>
              <w:rFonts w:cstheme="minorHAnsi"/>
              <w:sz w:val="23"/>
              <w:szCs w:val="24"/>
            </w:rPr>
            <w:t xml:space="preserve">Chancellerie du Premier ministre, SPF </w:t>
          </w:r>
          <w:r w:rsidR="00D119F2" w:rsidRPr="00406EBF">
            <w:rPr>
              <w:rFonts w:cstheme="minorHAnsi"/>
              <w:sz w:val="23"/>
              <w:szCs w:val="24"/>
            </w:rPr>
            <w:t>Affaires Etrangères, SPF Justice, SP</w:t>
          </w:r>
          <w:r w:rsidR="00E93FAA" w:rsidRPr="00406EBF">
            <w:rPr>
              <w:rFonts w:cstheme="minorHAnsi"/>
              <w:sz w:val="23"/>
              <w:szCs w:val="24"/>
            </w:rPr>
            <w:t>F</w:t>
          </w:r>
          <w:r w:rsidR="00D119F2" w:rsidRPr="00406EBF">
            <w:rPr>
              <w:rFonts w:cstheme="minorHAnsi"/>
              <w:sz w:val="23"/>
              <w:szCs w:val="24"/>
            </w:rPr>
            <w:t xml:space="preserve"> Affaires Intérieures, </w:t>
          </w:r>
          <w:r w:rsidR="00E93FAA" w:rsidRPr="00406EBF">
            <w:rPr>
              <w:rFonts w:cstheme="minorHAnsi"/>
              <w:sz w:val="23"/>
              <w:szCs w:val="23"/>
            </w:rPr>
            <w:t xml:space="preserve">SPF Finances, </w:t>
          </w:r>
          <w:r w:rsidR="00D30B3C" w:rsidRPr="00406EBF">
            <w:rPr>
              <w:rFonts w:cstheme="minorHAnsi"/>
              <w:sz w:val="23"/>
              <w:szCs w:val="23"/>
            </w:rPr>
            <w:t xml:space="preserve">Service fédéral d’Audit interne, </w:t>
          </w:r>
          <w:r w:rsidR="00E93FAA" w:rsidRPr="00406EBF">
            <w:rPr>
              <w:rFonts w:cstheme="minorHAnsi"/>
              <w:sz w:val="23"/>
              <w:szCs w:val="23"/>
            </w:rPr>
            <w:t xml:space="preserve">Bureau d’Ethique et de déontologie administratives, </w:t>
          </w:r>
          <w:r w:rsidR="00D30B3C" w:rsidRPr="00406EBF">
            <w:rPr>
              <w:rFonts w:cstheme="minorHAnsi"/>
              <w:sz w:val="23"/>
              <w:szCs w:val="23"/>
            </w:rPr>
            <w:t>P</w:t>
          </w:r>
          <w:r w:rsidR="00D119F2" w:rsidRPr="00406EBF">
            <w:rPr>
              <w:rFonts w:cstheme="minorHAnsi"/>
              <w:sz w:val="23"/>
              <w:szCs w:val="24"/>
            </w:rPr>
            <w:t xml:space="preserve">olice </w:t>
          </w:r>
          <w:r w:rsidR="00D30B3C" w:rsidRPr="00406EBF">
            <w:rPr>
              <w:rFonts w:cstheme="minorHAnsi"/>
              <w:sz w:val="23"/>
              <w:szCs w:val="23"/>
            </w:rPr>
            <w:t>f</w:t>
          </w:r>
          <w:r w:rsidR="00D119F2" w:rsidRPr="00406EBF">
            <w:rPr>
              <w:rFonts w:cstheme="minorHAnsi"/>
              <w:sz w:val="23"/>
              <w:szCs w:val="24"/>
            </w:rPr>
            <w:t xml:space="preserve">édérale, </w:t>
          </w:r>
          <w:r w:rsidR="00D30B3C" w:rsidRPr="00406EBF">
            <w:rPr>
              <w:rFonts w:cstheme="minorHAnsi"/>
              <w:sz w:val="23"/>
              <w:szCs w:val="23"/>
            </w:rPr>
            <w:t>Comité permanent de contrôle des services de police</w:t>
          </w:r>
          <w:r w:rsidR="00D119F2" w:rsidRPr="00406EBF">
            <w:rPr>
              <w:rFonts w:cstheme="minorHAnsi"/>
              <w:sz w:val="23"/>
              <w:szCs w:val="24"/>
            </w:rPr>
            <w:t xml:space="preserve">, </w:t>
          </w:r>
          <w:r w:rsidR="00D30B3C" w:rsidRPr="00406EBF">
            <w:rPr>
              <w:rFonts w:cstheme="minorHAnsi"/>
              <w:sz w:val="23"/>
              <w:szCs w:val="23"/>
            </w:rPr>
            <w:t>Inspection générale de la police fédérale et de la police locale</w:t>
          </w:r>
          <w:r w:rsidR="00D119F2" w:rsidRPr="00406EBF">
            <w:rPr>
              <w:rFonts w:cstheme="minorHAnsi"/>
              <w:sz w:val="23"/>
              <w:szCs w:val="24"/>
            </w:rPr>
            <w:t xml:space="preserve">, </w:t>
          </w:r>
          <w:r w:rsidR="00562AA4">
            <w:rPr>
              <w:rFonts w:cstheme="minorHAnsi"/>
              <w:sz w:val="23"/>
              <w:szCs w:val="23"/>
            </w:rPr>
            <w:t>Commission fédérale de déontologie</w:t>
          </w:r>
          <w:r w:rsidR="00D30B3C" w:rsidRPr="00406EBF">
            <w:rPr>
              <w:rFonts w:cstheme="minorHAnsi"/>
              <w:sz w:val="23"/>
              <w:szCs w:val="23"/>
            </w:rPr>
            <w:t xml:space="preserve">, </w:t>
          </w:r>
          <w:r w:rsidR="00D119F2" w:rsidRPr="00406EBF">
            <w:rPr>
              <w:rFonts w:cstheme="minorHAnsi"/>
              <w:sz w:val="23"/>
              <w:szCs w:val="24"/>
            </w:rPr>
            <w:t>Médiateur Fédéral, Cour des Comptes, Inspection des Finances.</w:t>
          </w:r>
          <w:r w:rsidR="00E93FAA" w:rsidRPr="00406EBF">
            <w:rPr>
              <w:rFonts w:cstheme="minorHAnsi"/>
              <w:sz w:val="23"/>
              <w:szCs w:val="23"/>
            </w:rPr>
            <w:t xml:space="preserve"> </w:t>
          </w:r>
          <w:r w:rsidR="00D119F2" w:rsidRPr="00406EBF">
            <w:rPr>
              <w:rFonts w:cstheme="minorHAnsi"/>
              <w:sz w:val="23"/>
              <w:szCs w:val="24"/>
            </w:rPr>
            <w:t>L’EEG a également rencontré des</w:t>
          </w:r>
          <w:r w:rsidR="00D30B3C" w:rsidRPr="00406EBF">
            <w:rPr>
              <w:rFonts w:cstheme="minorHAnsi"/>
              <w:sz w:val="23"/>
              <w:szCs w:val="23"/>
            </w:rPr>
            <w:t xml:space="preserve"> syndicats de police, des journalistes, des représentants de la société civile et des universitaires</w:t>
          </w:r>
          <w:r w:rsidR="00D119F2" w:rsidRPr="00406EBF">
            <w:rPr>
              <w:rFonts w:cstheme="minorHAnsi"/>
              <w:sz w:val="23"/>
              <w:szCs w:val="24"/>
            </w:rPr>
            <w:t xml:space="preserve">. </w:t>
          </w:r>
        </w:p>
        <w:p w14:paraId="6A94DCEB" w14:textId="77777777" w:rsidR="00E93FAA" w:rsidRPr="00406EBF" w:rsidRDefault="00FB38AB" w:rsidP="001878CC">
          <w:pPr>
            <w:tabs>
              <w:tab w:val="left" w:pos="709"/>
            </w:tabs>
            <w:spacing w:line="240" w:lineRule="auto"/>
            <w:jc w:val="both"/>
            <w:rPr>
              <w:sz w:val="23"/>
              <w:szCs w:val="23"/>
            </w:rPr>
          </w:pPr>
          <w:r w:rsidRPr="00406EBF">
            <w:rPr>
              <w:sz w:val="23"/>
              <w:szCs w:val="23"/>
            </w:rPr>
            <w:br w:type="page"/>
          </w:r>
        </w:p>
        <w:p w14:paraId="6BEC0141" w14:textId="77777777" w:rsidR="00FB38AB" w:rsidRPr="00406EBF" w:rsidRDefault="007E6083" w:rsidP="001878CC">
          <w:pPr>
            <w:tabs>
              <w:tab w:val="left" w:pos="709"/>
            </w:tabs>
            <w:spacing w:line="240" w:lineRule="auto"/>
            <w:jc w:val="both"/>
            <w:rPr>
              <w:sz w:val="23"/>
              <w:szCs w:val="23"/>
            </w:rPr>
          </w:pPr>
        </w:p>
      </w:sdtContent>
    </w:sdt>
    <w:p w14:paraId="57F90B4E" w14:textId="77777777" w:rsidR="00FB38AB" w:rsidRPr="00406EBF" w:rsidRDefault="00A910A1" w:rsidP="001878CC">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7" w:name="_Toc342554247"/>
      <w:bookmarkStart w:id="8" w:name="_Toc342640922"/>
      <w:bookmarkStart w:id="9" w:name="_Toc21339551"/>
      <w:r w:rsidRPr="00406EBF">
        <w:rPr>
          <w:rFonts w:asciiTheme="minorHAnsi" w:hAnsiTheme="minorHAnsi" w:cstheme="minorHAnsi"/>
          <w:color w:val="auto"/>
          <w:sz w:val="23"/>
          <w:szCs w:val="23"/>
        </w:rPr>
        <w:t>III</w:t>
      </w:r>
      <w:r w:rsidR="00FB38AB" w:rsidRPr="00406EBF">
        <w:rPr>
          <w:rFonts w:asciiTheme="minorHAnsi" w:hAnsiTheme="minorHAnsi" w:cstheme="minorHAnsi"/>
          <w:color w:val="auto"/>
          <w:sz w:val="23"/>
          <w:szCs w:val="23"/>
        </w:rPr>
        <w:t>.</w:t>
      </w:r>
      <w:r w:rsidR="00FB38AB" w:rsidRPr="00406EBF">
        <w:rPr>
          <w:rFonts w:asciiTheme="minorHAnsi" w:hAnsiTheme="minorHAnsi" w:cstheme="minorHAnsi"/>
          <w:color w:val="auto"/>
          <w:sz w:val="23"/>
          <w:szCs w:val="23"/>
        </w:rPr>
        <w:tab/>
      </w:r>
      <w:r w:rsidR="00FB38AB" w:rsidRPr="00406EBF">
        <w:rPr>
          <w:rFonts w:asciiTheme="minorHAnsi" w:hAnsiTheme="minorHAnsi" w:cstheme="minorHAnsi"/>
          <w:color w:val="auto"/>
          <w:sz w:val="23"/>
          <w:szCs w:val="23"/>
          <w:u w:val="single"/>
        </w:rPr>
        <w:t>CONTEXT</w:t>
      </w:r>
      <w:bookmarkEnd w:id="7"/>
      <w:bookmarkEnd w:id="8"/>
      <w:r w:rsidR="00795E60" w:rsidRPr="00406EBF">
        <w:rPr>
          <w:rFonts w:asciiTheme="minorHAnsi" w:hAnsiTheme="minorHAnsi" w:cstheme="minorHAnsi"/>
          <w:color w:val="auto"/>
          <w:sz w:val="23"/>
          <w:szCs w:val="23"/>
          <w:u w:val="single"/>
        </w:rPr>
        <w:t>E</w:t>
      </w:r>
      <w:bookmarkEnd w:id="9"/>
      <w:r w:rsidR="00FB38AB" w:rsidRPr="00406EBF">
        <w:rPr>
          <w:rFonts w:asciiTheme="minorHAnsi" w:hAnsiTheme="minorHAnsi" w:cstheme="minorHAnsi"/>
          <w:color w:val="auto"/>
          <w:sz w:val="23"/>
          <w:szCs w:val="23"/>
        </w:rPr>
        <w:t xml:space="preserve"> </w:t>
      </w:r>
    </w:p>
    <w:sdt>
      <w:sdtPr>
        <w:rPr>
          <w:sz w:val="21"/>
          <w:szCs w:val="21"/>
          <w:lang w:val="en-US"/>
        </w:rPr>
        <w:tag w:val="{CF5D2AA6-4187-4417-A2CF-B786C3240CE4}"/>
        <w:id w:val="488836441"/>
        <w:lock w:val="sdtLocked"/>
      </w:sdtPr>
      <w:sdtEndPr/>
      <w:sdtContent>
        <w:p w14:paraId="0833905F" w14:textId="77777777" w:rsidR="00FB38AB" w:rsidRPr="00406EBF" w:rsidRDefault="00FB38AB" w:rsidP="001878CC">
          <w:pPr>
            <w:tabs>
              <w:tab w:val="left" w:pos="709"/>
            </w:tabs>
            <w:spacing w:line="240" w:lineRule="auto"/>
            <w:contextualSpacing/>
            <w:jc w:val="both"/>
            <w:rPr>
              <w:rFonts w:cstheme="minorHAnsi"/>
              <w:sz w:val="23"/>
              <w:szCs w:val="23"/>
            </w:rPr>
          </w:pPr>
        </w:p>
        <w:p w14:paraId="3D36489B" w14:textId="77777777" w:rsidR="00D119F2" w:rsidRPr="00406EBF" w:rsidRDefault="00D119F2" w:rsidP="00D119F2">
          <w:pPr>
            <w:numPr>
              <w:ilvl w:val="0"/>
              <w:numId w:val="1"/>
            </w:numPr>
            <w:tabs>
              <w:tab w:val="left" w:pos="709"/>
              <w:tab w:val="num" w:pos="4536"/>
            </w:tabs>
            <w:spacing w:line="240" w:lineRule="auto"/>
            <w:ind w:left="0" w:firstLine="0"/>
            <w:contextualSpacing/>
            <w:jc w:val="both"/>
            <w:rPr>
              <w:rFonts w:cstheme="minorHAnsi"/>
              <w:sz w:val="23"/>
              <w:szCs w:val="23"/>
            </w:rPr>
          </w:pPr>
          <w:bookmarkStart w:id="10" w:name="_Toc318819322"/>
          <w:bookmarkStart w:id="11" w:name="_Toc318819341"/>
          <w:bookmarkStart w:id="12" w:name="_Toc318819361"/>
          <w:bookmarkStart w:id="13" w:name="_Toc342554248"/>
          <w:bookmarkStart w:id="14" w:name="_Toc342640923"/>
          <w:r w:rsidRPr="00406EBF">
            <w:rPr>
              <w:rFonts w:cstheme="minorHAnsi"/>
              <w:sz w:val="23"/>
              <w:szCs w:val="23"/>
            </w:rPr>
            <w:t>La Belgique est membre du GRECO depuis 1999. Depuis cette date, elle a fait l’objet de quatre cycles d’évaluation portant sur différents thèmes en rapport avec la prévention et la lutte contre la corruption</w:t>
          </w:r>
          <w:r w:rsidRPr="00406EBF">
            <w:rPr>
              <w:rStyle w:val="Appelnotedebasdep"/>
              <w:rFonts w:cstheme="minorHAnsi"/>
              <w:sz w:val="23"/>
              <w:szCs w:val="23"/>
            </w:rPr>
            <w:footnoteReference w:id="2"/>
          </w:r>
          <w:r w:rsidRPr="00406EBF">
            <w:rPr>
              <w:rFonts w:cstheme="minorHAnsi"/>
              <w:sz w:val="23"/>
              <w:szCs w:val="23"/>
            </w:rPr>
            <w:t xml:space="preserve">. </w:t>
          </w:r>
          <w:r w:rsidR="00CD1896" w:rsidRPr="00406EBF">
            <w:rPr>
              <w:rFonts w:cstheme="minorHAnsi"/>
              <w:sz w:val="23"/>
              <w:szCs w:val="23"/>
            </w:rPr>
            <w:t xml:space="preserve">Les résultats de la mise en œuvre des recommandations émises par le GRECO lors de ces cycles sont </w:t>
          </w:r>
          <w:r w:rsidR="00D37E76">
            <w:rPr>
              <w:rFonts w:cstheme="minorHAnsi"/>
              <w:sz w:val="23"/>
              <w:szCs w:val="23"/>
            </w:rPr>
            <w:t xml:space="preserve">variables, </w:t>
          </w:r>
          <w:r w:rsidR="00CD1896" w:rsidRPr="00406EBF">
            <w:rPr>
              <w:rFonts w:cstheme="minorHAnsi"/>
              <w:sz w:val="23"/>
              <w:szCs w:val="23"/>
            </w:rPr>
            <w:t>le degré de mise en œuvre diminu</w:t>
          </w:r>
          <w:r w:rsidR="00D37E76">
            <w:rPr>
              <w:rFonts w:cstheme="minorHAnsi"/>
              <w:sz w:val="23"/>
              <w:szCs w:val="23"/>
            </w:rPr>
            <w:t>ant</w:t>
          </w:r>
          <w:r w:rsidR="00CD1896" w:rsidRPr="00406EBF">
            <w:rPr>
              <w:rFonts w:cstheme="minorHAnsi"/>
              <w:sz w:val="23"/>
              <w:szCs w:val="23"/>
            </w:rPr>
            <w:t xml:space="preserve"> pour chaque cycle : ainsi, toutes les recommandations du Premier Cycle d’Evaluation ont été pleinement mises en œuvre, ce qui n’est le cas que de 55% des recommandations du Deuxième Cycle, les autres recommandations ayant été partiellement mises en œuvre. Seules 40% des recommandations du Troisième Cycle ont été pleinement mises en œuvre, 53% l’ayant été de façon partielle et une recommandation étant restée non mise en œuvre lors de la clôture du cycle. </w:t>
          </w:r>
          <w:r w:rsidR="00BF591E" w:rsidRPr="00406EBF">
            <w:rPr>
              <w:rFonts w:cstheme="minorHAnsi"/>
              <w:sz w:val="23"/>
              <w:szCs w:val="23"/>
            </w:rPr>
            <w:t>Les résultats de la mise en œuvre au cours du Quatrième Cycle ne sont encore que partiels, la procédure de conformité étant encore en cours. La Belgique affiche à ce jour seulement 13% de recommandations pleinement mises en œuvre, 80% de recommandations partiellement mises en œuvre et 7% de recommandations non mises en œuvre.</w:t>
          </w:r>
        </w:p>
        <w:p w14:paraId="668C2FB5" w14:textId="77777777" w:rsidR="00D119F2" w:rsidRPr="00406EBF" w:rsidRDefault="00D119F2" w:rsidP="00D119F2">
          <w:pPr>
            <w:tabs>
              <w:tab w:val="left" w:pos="709"/>
            </w:tabs>
            <w:spacing w:line="240" w:lineRule="auto"/>
            <w:contextualSpacing/>
            <w:jc w:val="both"/>
            <w:rPr>
              <w:rFonts w:cstheme="minorHAnsi"/>
              <w:sz w:val="23"/>
              <w:szCs w:val="23"/>
            </w:rPr>
          </w:pPr>
        </w:p>
        <w:p w14:paraId="2B0F24F2" w14:textId="77777777" w:rsidR="00D119F2" w:rsidRPr="00406EBF" w:rsidRDefault="00D119F2" w:rsidP="00B80838">
          <w:pPr>
            <w:numPr>
              <w:ilvl w:val="0"/>
              <w:numId w:val="1"/>
            </w:numPr>
            <w:tabs>
              <w:tab w:val="left" w:pos="709"/>
              <w:tab w:val="num" w:pos="4536"/>
            </w:tabs>
            <w:spacing w:line="240" w:lineRule="auto"/>
            <w:ind w:left="0" w:firstLine="0"/>
            <w:contextualSpacing/>
            <w:jc w:val="both"/>
            <w:rPr>
              <w:rFonts w:cstheme="minorHAnsi"/>
              <w:sz w:val="23"/>
              <w:szCs w:val="23"/>
            </w:rPr>
          </w:pPr>
          <w:r w:rsidRPr="00406EBF">
            <w:rPr>
              <w:rFonts w:cstheme="minorHAnsi"/>
              <w:sz w:val="23"/>
              <w:szCs w:val="23"/>
            </w:rPr>
            <w:t xml:space="preserve">La Belgique est classée </w:t>
          </w:r>
          <w:r w:rsidR="007F52EC" w:rsidRPr="00406EBF">
            <w:rPr>
              <w:rFonts w:cstheme="minorHAnsi"/>
              <w:sz w:val="23"/>
              <w:szCs w:val="23"/>
            </w:rPr>
            <w:t xml:space="preserve">assez </w:t>
          </w:r>
          <w:r w:rsidRPr="00406EBF">
            <w:rPr>
              <w:rFonts w:cstheme="minorHAnsi"/>
              <w:sz w:val="23"/>
              <w:szCs w:val="23"/>
            </w:rPr>
            <w:t xml:space="preserve">favorablement dans les indices internationaux de perception de la corruption. </w:t>
          </w:r>
          <w:r w:rsidR="007F52EC" w:rsidRPr="00406EBF">
            <w:rPr>
              <w:rFonts w:cstheme="minorHAnsi"/>
              <w:sz w:val="23"/>
              <w:szCs w:val="23"/>
            </w:rPr>
            <w:t>Elle</w:t>
          </w:r>
          <w:r w:rsidRPr="00406EBF">
            <w:rPr>
              <w:rFonts w:cstheme="minorHAnsi"/>
              <w:sz w:val="23"/>
              <w:szCs w:val="23"/>
            </w:rPr>
            <w:t xml:space="preserve"> figure au 17</w:t>
          </w:r>
          <w:r w:rsidRPr="00406EBF">
            <w:rPr>
              <w:rFonts w:cstheme="minorHAnsi"/>
              <w:sz w:val="23"/>
              <w:szCs w:val="23"/>
              <w:vertAlign w:val="superscript"/>
            </w:rPr>
            <w:t>e</w:t>
          </w:r>
          <w:r w:rsidRPr="00406EBF">
            <w:rPr>
              <w:rFonts w:cstheme="minorHAnsi"/>
              <w:sz w:val="23"/>
              <w:szCs w:val="23"/>
            </w:rPr>
            <w:t xml:space="preserve"> rang de l’indice 2018 de Transparency International</w:t>
          </w:r>
          <w:r w:rsidR="007F52EC" w:rsidRPr="00406EBF">
            <w:rPr>
              <w:rStyle w:val="Appelnotedebasdep"/>
              <w:rFonts w:cstheme="minorHAnsi"/>
              <w:sz w:val="23"/>
              <w:szCs w:val="23"/>
            </w:rPr>
            <w:footnoteReference w:id="3"/>
          </w:r>
          <w:r w:rsidRPr="00406EBF">
            <w:rPr>
              <w:rFonts w:cstheme="minorHAnsi"/>
              <w:sz w:val="23"/>
              <w:szCs w:val="23"/>
            </w:rPr>
            <w:t xml:space="preserve"> en la matière</w:t>
          </w:r>
          <w:r w:rsidR="007F52EC" w:rsidRPr="00406EBF">
            <w:rPr>
              <w:rFonts w:cstheme="minorHAnsi"/>
              <w:sz w:val="23"/>
              <w:szCs w:val="23"/>
            </w:rPr>
            <w:t xml:space="preserve"> et son rang varie peu d’année en année</w:t>
          </w:r>
          <w:r w:rsidRPr="00406EBF">
            <w:rPr>
              <w:rFonts w:cstheme="minorHAnsi"/>
              <w:sz w:val="23"/>
              <w:szCs w:val="23"/>
            </w:rPr>
            <w:t xml:space="preserve">. Selon le </w:t>
          </w:r>
          <w:r w:rsidR="001F7C9D" w:rsidRPr="00406EBF">
            <w:rPr>
              <w:rFonts w:cstheme="minorHAnsi"/>
              <w:sz w:val="23"/>
              <w:szCs w:val="23"/>
            </w:rPr>
            <w:t>sondage Eurobaromètre (2017)</w:t>
          </w:r>
          <w:r w:rsidR="001F7C9D" w:rsidRPr="00406EBF">
            <w:rPr>
              <w:rStyle w:val="Appelnotedebasdep"/>
              <w:rFonts w:cstheme="minorHAnsi"/>
              <w:sz w:val="23"/>
              <w:szCs w:val="23"/>
            </w:rPr>
            <w:footnoteReference w:id="4"/>
          </w:r>
          <w:r w:rsidR="001F7C9D" w:rsidRPr="00406EBF">
            <w:rPr>
              <w:rFonts w:cstheme="minorHAnsi"/>
              <w:sz w:val="23"/>
              <w:szCs w:val="23"/>
            </w:rPr>
            <w:t xml:space="preserve"> sur la perception de la corruption, 65% des personnes interrogées jugent que la corruption reste un problème important en Belgique (moyenne de l’UE : 68%), alors que 8% d’entre elles indiquent avoir été personnellement confrontées à ce problème au cours des 12 derniers mois (moyenne de l’UE : 5%). A noter également dans ce sondage une importante augmentation des personnes ayant</w:t>
          </w:r>
          <w:r w:rsidR="002E610A" w:rsidRPr="00406EBF">
            <w:rPr>
              <w:rFonts w:cstheme="minorHAnsi"/>
              <w:sz w:val="23"/>
              <w:szCs w:val="23"/>
            </w:rPr>
            <w:t xml:space="preserve"> dénoncé ce fait (36% des personnes concernées, soit le double de la moyenne de l’UE (18%) et une augmentation de 15 points depuis le dernier baromètre de 2013). </w:t>
          </w:r>
          <w:r w:rsidR="001F7C9D" w:rsidRPr="00406EBF">
            <w:rPr>
              <w:rFonts w:cstheme="minorHAnsi"/>
              <w:sz w:val="23"/>
              <w:szCs w:val="23"/>
            </w:rPr>
            <w:t xml:space="preserve"> </w:t>
          </w:r>
          <w:r w:rsidR="002E610A" w:rsidRPr="00406EBF">
            <w:rPr>
              <w:rFonts w:cstheme="minorHAnsi"/>
              <w:sz w:val="23"/>
              <w:szCs w:val="23"/>
            </w:rPr>
            <w:t>Les poli</w:t>
          </w:r>
          <w:r w:rsidR="00C44BE8">
            <w:rPr>
              <w:rFonts w:cstheme="minorHAnsi"/>
              <w:sz w:val="23"/>
              <w:szCs w:val="23"/>
            </w:rPr>
            <w:t>ti</w:t>
          </w:r>
          <w:r w:rsidR="002E610A" w:rsidRPr="00406EBF">
            <w:rPr>
              <w:rFonts w:cstheme="minorHAnsi"/>
              <w:sz w:val="23"/>
              <w:szCs w:val="23"/>
            </w:rPr>
            <w:t>ciens nationaux et locaux ainsi que les partis politiques figurent en tête des catégories perçues comme les plus touchées par la corruption et l’abus de pouvoir</w:t>
          </w:r>
          <w:r w:rsidR="00B80838" w:rsidRPr="00406EBF">
            <w:rPr>
              <w:rFonts w:cstheme="minorHAnsi"/>
              <w:sz w:val="23"/>
              <w:szCs w:val="23"/>
            </w:rPr>
            <w:t xml:space="preserve"> (65% des personnes interrogées en Belgique, contre 56% pour la moyenne de l’UE)</w:t>
          </w:r>
          <w:r w:rsidRPr="00406EBF">
            <w:rPr>
              <w:rFonts w:cstheme="minorHAnsi"/>
              <w:sz w:val="23"/>
              <w:szCs w:val="23"/>
            </w:rPr>
            <w:t xml:space="preserve">. </w:t>
          </w:r>
          <w:r w:rsidR="00B80838" w:rsidRPr="00406EBF">
            <w:rPr>
              <w:rFonts w:cstheme="minorHAnsi"/>
              <w:sz w:val="23"/>
              <w:szCs w:val="23"/>
            </w:rPr>
            <w:t>La police belge bénéficie d’une meilleure image, seules 31% des personnes interrogées estimant que la corruption et l’abus de pouvoir y sont répandus (moyenne de l’UE : 43%). Mais le Rapport du GRECO du Quatrième Cycle avait noté que l</w:t>
          </w:r>
          <w:r w:rsidRPr="00406EBF">
            <w:rPr>
              <w:rFonts w:cstheme="minorHAnsi"/>
              <w:sz w:val="23"/>
              <w:szCs w:val="23"/>
            </w:rPr>
            <w:t>e manque de ressources des services de police a</w:t>
          </w:r>
          <w:r w:rsidR="00B80838" w:rsidRPr="00406EBF">
            <w:rPr>
              <w:rFonts w:cstheme="minorHAnsi"/>
              <w:sz w:val="23"/>
              <w:szCs w:val="23"/>
            </w:rPr>
            <w:t>vait</w:t>
          </w:r>
          <w:r w:rsidRPr="00406EBF">
            <w:rPr>
              <w:rFonts w:cstheme="minorHAnsi"/>
              <w:sz w:val="23"/>
              <w:szCs w:val="23"/>
            </w:rPr>
            <w:t xml:space="preserve"> entravé l’efficacité des enquêtes sur les crimes financiers et économiques.</w:t>
          </w:r>
          <w:r w:rsidR="0058588D" w:rsidRPr="00406EBF">
            <w:rPr>
              <w:rFonts w:cstheme="minorHAnsi"/>
              <w:sz w:val="23"/>
              <w:szCs w:val="23"/>
            </w:rPr>
            <w:t xml:space="preserve"> Le rapport anti-corruption de l’UE</w:t>
          </w:r>
          <w:r w:rsidR="0058588D" w:rsidRPr="00406EBF">
            <w:rPr>
              <w:rStyle w:val="Appelnotedebasdep"/>
              <w:rFonts w:cstheme="minorHAnsi"/>
              <w:sz w:val="23"/>
              <w:szCs w:val="23"/>
            </w:rPr>
            <w:footnoteReference w:id="5"/>
          </w:r>
          <w:r w:rsidR="0058588D" w:rsidRPr="00406EBF">
            <w:rPr>
              <w:rFonts w:cstheme="minorHAnsi"/>
              <w:sz w:val="23"/>
              <w:szCs w:val="23"/>
            </w:rPr>
            <w:t xml:space="preserve"> de 2014 a lui aussi appelé à ce que des capacités suffisantes soient fournies aux services de police afin de leur permettre de déceler et d’enquêter sur des délits liés à la corruption.</w:t>
          </w:r>
        </w:p>
        <w:p w14:paraId="7F092ADB" w14:textId="77777777" w:rsidR="00B80838" w:rsidRPr="00406EBF" w:rsidRDefault="00B80838" w:rsidP="00B80838">
          <w:pPr>
            <w:tabs>
              <w:tab w:val="left" w:pos="709"/>
              <w:tab w:val="num" w:pos="4536"/>
            </w:tabs>
            <w:spacing w:line="240" w:lineRule="auto"/>
            <w:contextualSpacing/>
            <w:jc w:val="both"/>
            <w:rPr>
              <w:rFonts w:cstheme="minorHAnsi"/>
              <w:sz w:val="23"/>
              <w:szCs w:val="23"/>
            </w:rPr>
          </w:pPr>
        </w:p>
        <w:p w14:paraId="1DBE16AF" w14:textId="27EE9D17" w:rsidR="00B80838" w:rsidRPr="00406EBF" w:rsidRDefault="00B80838" w:rsidP="00B80838">
          <w:pPr>
            <w:numPr>
              <w:ilvl w:val="0"/>
              <w:numId w:val="1"/>
            </w:numPr>
            <w:tabs>
              <w:tab w:val="left" w:pos="709"/>
              <w:tab w:val="num" w:pos="4536"/>
            </w:tabs>
            <w:spacing w:line="240" w:lineRule="auto"/>
            <w:ind w:left="0" w:firstLine="0"/>
            <w:contextualSpacing/>
            <w:jc w:val="both"/>
            <w:rPr>
              <w:rFonts w:cstheme="minorHAnsi"/>
              <w:sz w:val="23"/>
              <w:szCs w:val="23"/>
            </w:rPr>
          </w:pPr>
          <w:bookmarkStart w:id="15" w:name="_Hlk21419904"/>
          <w:r w:rsidRPr="00406EBF">
            <w:rPr>
              <w:rFonts w:cstheme="minorHAnsi"/>
              <w:sz w:val="23"/>
              <w:szCs w:val="23"/>
            </w:rPr>
            <w:t xml:space="preserve">La Belgique a en effet été touchée ces dernières années par </w:t>
          </w:r>
          <w:r w:rsidR="00633920" w:rsidRPr="00406EBF">
            <w:rPr>
              <w:rFonts w:cstheme="minorHAnsi"/>
              <w:sz w:val="23"/>
              <w:szCs w:val="23"/>
            </w:rPr>
            <w:t>certains</w:t>
          </w:r>
          <w:r w:rsidRPr="00406EBF">
            <w:rPr>
              <w:rFonts w:cstheme="minorHAnsi"/>
              <w:sz w:val="23"/>
              <w:szCs w:val="23"/>
            </w:rPr>
            <w:t xml:space="preserve"> scandales politico-financiers.</w:t>
          </w:r>
          <w:r w:rsidR="0058588D" w:rsidRPr="00406EBF">
            <w:rPr>
              <w:rFonts w:cstheme="minorHAnsi"/>
              <w:sz w:val="23"/>
              <w:szCs w:val="23"/>
            </w:rPr>
            <w:t xml:space="preserve"> On peut citer notamment l’affaire du Kazakhgate, qui a mis au jour un trafic d’influence entre la France et la Belgique visant à protéger des hommes d’affaires kazakhs de poursuites pour blanchiment et corruption en Belgique, dans l’optique de la conclusion d’un contrat d’achat </w:t>
          </w:r>
          <w:r w:rsidR="0058588D" w:rsidRPr="00406EBF">
            <w:rPr>
              <w:rFonts w:cstheme="minorHAnsi"/>
              <w:sz w:val="23"/>
              <w:szCs w:val="23"/>
            </w:rPr>
            <w:lastRenderedPageBreak/>
            <w:t>d’hélicoptaires français par le Kazakhstan. Ces poursuites ont fait l’objet d’une transaction pénale</w:t>
          </w:r>
          <w:r w:rsidR="0070597E" w:rsidRPr="00406EBF">
            <w:rPr>
              <w:rFonts w:cstheme="minorHAnsi"/>
              <w:sz w:val="23"/>
              <w:szCs w:val="23"/>
            </w:rPr>
            <w:t>, grâce à une loi venant tout juste d’être votée en Belgique. Plusieurs ministres ont été cités dans cette affaire et le lobbying ayant été exercé en faveur de l’adoption de la loi auprès du gouvernement et du parlement a posé question</w:t>
          </w:r>
          <w:r w:rsidR="0070597E" w:rsidRPr="00406EBF">
            <w:rPr>
              <w:rStyle w:val="Appelnotedebasdep"/>
              <w:rFonts w:cstheme="minorHAnsi"/>
              <w:sz w:val="23"/>
              <w:szCs w:val="23"/>
            </w:rPr>
            <w:footnoteReference w:id="6"/>
          </w:r>
          <w:r w:rsidR="0070597E" w:rsidRPr="00406EBF">
            <w:rPr>
              <w:rFonts w:cstheme="minorHAnsi"/>
              <w:sz w:val="23"/>
              <w:szCs w:val="23"/>
            </w:rPr>
            <w:t xml:space="preserve">. </w:t>
          </w:r>
          <w:r w:rsidR="00066A04">
            <w:rPr>
              <w:rFonts w:cstheme="minorHAnsi"/>
              <w:sz w:val="23"/>
              <w:szCs w:val="23"/>
            </w:rPr>
            <w:t xml:space="preserve">Il y a lieu de citer également </w:t>
          </w:r>
          <w:r w:rsidR="00F26823" w:rsidRPr="00406EBF">
            <w:rPr>
              <w:rFonts w:cstheme="minorHAnsi"/>
              <w:sz w:val="23"/>
              <w:szCs w:val="23"/>
            </w:rPr>
            <w:t>l’affaire d</w:t>
          </w:r>
          <w:r w:rsidR="00885DDC" w:rsidRPr="00406EBF">
            <w:rPr>
              <w:rFonts w:cstheme="minorHAnsi"/>
              <w:sz w:val="23"/>
              <w:szCs w:val="23"/>
            </w:rPr>
            <w:t>u gel des avoirs libyens</w:t>
          </w:r>
          <w:r w:rsidR="00885DDC" w:rsidRPr="00406EBF">
            <w:rPr>
              <w:rStyle w:val="Appelnotedebasdep"/>
              <w:rFonts w:cstheme="minorHAnsi"/>
              <w:sz w:val="23"/>
              <w:szCs w:val="23"/>
            </w:rPr>
            <w:footnoteReference w:id="7"/>
          </w:r>
          <w:r w:rsidR="00885DDC" w:rsidRPr="00406EBF">
            <w:rPr>
              <w:rFonts w:cstheme="minorHAnsi"/>
              <w:sz w:val="23"/>
              <w:szCs w:val="23"/>
            </w:rPr>
            <w:t xml:space="preserve">, dans laquelle les dividendes de ces fonds gelés auraient servi à financer des milices libyennes responsables de trafic d’êtres humains. </w:t>
          </w:r>
          <w:r w:rsidR="00066A04">
            <w:rPr>
              <w:rFonts w:cstheme="minorHAnsi"/>
              <w:sz w:val="23"/>
              <w:szCs w:val="23"/>
            </w:rPr>
            <w:t>Dans ce contexte, une instruction judiciare est en cours</w:t>
          </w:r>
          <w:r w:rsidR="00885DDC" w:rsidRPr="00406EBF">
            <w:rPr>
              <w:rFonts w:cstheme="minorHAnsi"/>
              <w:sz w:val="23"/>
              <w:szCs w:val="23"/>
            </w:rPr>
            <w:t>.</w:t>
          </w:r>
        </w:p>
        <w:bookmarkEnd w:id="15"/>
        <w:p w14:paraId="20790C9F" w14:textId="77777777" w:rsidR="00D119F2" w:rsidRPr="00406EBF" w:rsidRDefault="00D119F2" w:rsidP="00D119F2">
          <w:pPr>
            <w:tabs>
              <w:tab w:val="left" w:pos="709"/>
            </w:tabs>
            <w:spacing w:line="240" w:lineRule="auto"/>
            <w:contextualSpacing/>
            <w:jc w:val="both"/>
            <w:rPr>
              <w:rFonts w:cstheme="minorHAnsi"/>
              <w:sz w:val="23"/>
              <w:szCs w:val="23"/>
            </w:rPr>
          </w:pPr>
        </w:p>
        <w:p w14:paraId="5EE5E974" w14:textId="77777777" w:rsidR="00FA3EA5" w:rsidRPr="00406EBF" w:rsidRDefault="00C762F8" w:rsidP="001878CC">
          <w:pPr>
            <w:spacing w:line="240" w:lineRule="auto"/>
            <w:contextualSpacing/>
            <w:jc w:val="both"/>
            <w:rPr>
              <w:sz w:val="23"/>
              <w:szCs w:val="23"/>
            </w:rPr>
          </w:pPr>
          <w:bookmarkStart w:id="17" w:name="_Toc342554299"/>
          <w:bookmarkStart w:id="18" w:name="_Toc342640974"/>
          <w:bookmarkEnd w:id="10"/>
          <w:bookmarkEnd w:id="11"/>
          <w:bookmarkEnd w:id="12"/>
          <w:bookmarkEnd w:id="13"/>
          <w:bookmarkEnd w:id="14"/>
          <w:r w:rsidRPr="00406EBF">
            <w:rPr>
              <w:sz w:val="23"/>
              <w:szCs w:val="23"/>
            </w:rPr>
            <w:br w:type="page"/>
          </w:r>
        </w:p>
      </w:sdtContent>
    </w:sdt>
    <w:p w14:paraId="353A0219" w14:textId="77777777" w:rsidR="0010115C" w:rsidRPr="00406EBF" w:rsidRDefault="00C762F8" w:rsidP="003F2FAD">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19" w:name="_Toc21339552"/>
      <w:r w:rsidRPr="00406EBF">
        <w:rPr>
          <w:rFonts w:asciiTheme="minorHAnsi" w:hAnsiTheme="minorHAnsi" w:cstheme="minorHAnsi"/>
          <w:color w:val="auto"/>
          <w:sz w:val="23"/>
          <w:szCs w:val="23"/>
        </w:rPr>
        <w:lastRenderedPageBreak/>
        <w:t>IV.</w:t>
      </w:r>
      <w:r w:rsidR="000A5C7E" w:rsidRPr="00406EBF">
        <w:rPr>
          <w:rFonts w:asciiTheme="minorHAnsi" w:hAnsiTheme="minorHAnsi" w:cstheme="minorHAnsi"/>
          <w:color w:val="auto"/>
          <w:sz w:val="23"/>
          <w:szCs w:val="23"/>
        </w:rPr>
        <w:tab/>
      </w:r>
      <w:r w:rsidR="00795E60" w:rsidRPr="00406EBF">
        <w:rPr>
          <w:rFonts w:asciiTheme="minorHAnsi" w:hAnsiTheme="minorHAnsi" w:cstheme="minorHAnsi"/>
          <w:color w:val="auto"/>
          <w:sz w:val="23"/>
          <w:szCs w:val="23"/>
        </w:rPr>
        <w:t>PRÉVENTION DE LA C</w:t>
      </w:r>
      <w:r w:rsidRPr="00406EBF">
        <w:rPr>
          <w:rFonts w:asciiTheme="minorHAnsi" w:hAnsiTheme="minorHAnsi" w:cstheme="minorHAnsi"/>
          <w:color w:val="auto"/>
          <w:sz w:val="23"/>
          <w:szCs w:val="23"/>
        </w:rPr>
        <w:t>ORRUPTION</w:t>
      </w:r>
      <w:r w:rsidR="00795E60" w:rsidRPr="00406EBF">
        <w:rPr>
          <w:rFonts w:asciiTheme="minorHAnsi" w:hAnsiTheme="minorHAnsi" w:cstheme="minorHAnsi"/>
          <w:color w:val="auto"/>
          <w:sz w:val="23"/>
          <w:szCs w:val="23"/>
        </w:rPr>
        <w:t xml:space="preserve"> AU SEIN DES GOU</w:t>
      </w:r>
      <w:r w:rsidRPr="00406EBF">
        <w:rPr>
          <w:rFonts w:asciiTheme="minorHAnsi" w:hAnsiTheme="minorHAnsi" w:cstheme="minorHAnsi"/>
          <w:color w:val="auto"/>
          <w:sz w:val="23"/>
          <w:szCs w:val="23"/>
        </w:rPr>
        <w:t>VERN</w:t>
      </w:r>
      <w:r w:rsidR="00795E60" w:rsidRPr="00406EBF">
        <w:rPr>
          <w:rFonts w:asciiTheme="minorHAnsi" w:hAnsiTheme="minorHAnsi" w:cstheme="minorHAnsi"/>
          <w:color w:val="auto"/>
          <w:sz w:val="23"/>
          <w:szCs w:val="23"/>
        </w:rPr>
        <w:t>E</w:t>
      </w:r>
      <w:r w:rsidRPr="00406EBF">
        <w:rPr>
          <w:rFonts w:asciiTheme="minorHAnsi" w:hAnsiTheme="minorHAnsi" w:cstheme="minorHAnsi"/>
          <w:color w:val="auto"/>
          <w:sz w:val="23"/>
          <w:szCs w:val="23"/>
        </w:rPr>
        <w:t>MENTS</w:t>
      </w:r>
      <w:r w:rsidR="00795E60" w:rsidRPr="00406EBF">
        <w:rPr>
          <w:rFonts w:asciiTheme="minorHAnsi" w:hAnsiTheme="minorHAnsi" w:cstheme="minorHAnsi"/>
          <w:color w:val="auto"/>
          <w:sz w:val="23"/>
          <w:szCs w:val="23"/>
        </w:rPr>
        <w:t xml:space="preserve"> CENTRAUX</w:t>
      </w:r>
      <w:r w:rsidRPr="00406EBF">
        <w:rPr>
          <w:rFonts w:asciiTheme="minorHAnsi" w:hAnsiTheme="minorHAnsi" w:cstheme="minorHAnsi"/>
          <w:b w:val="0"/>
          <w:bCs w:val="0"/>
          <w:color w:val="auto"/>
          <w:sz w:val="23"/>
          <w:szCs w:val="23"/>
        </w:rPr>
        <w:t xml:space="preserve"> </w:t>
      </w:r>
      <w:r w:rsidRPr="00406EBF">
        <w:rPr>
          <w:rFonts w:asciiTheme="minorHAnsi" w:hAnsiTheme="minorHAnsi" w:cstheme="minorHAnsi"/>
          <w:color w:val="auto"/>
          <w:sz w:val="23"/>
          <w:szCs w:val="23"/>
        </w:rPr>
        <w:t>(</w:t>
      </w:r>
      <w:r w:rsidR="00795E60" w:rsidRPr="00406EBF">
        <w:rPr>
          <w:rFonts w:asciiTheme="minorHAnsi" w:hAnsiTheme="minorHAnsi" w:cstheme="minorHAnsi"/>
          <w:color w:val="auto"/>
          <w:sz w:val="23"/>
          <w:szCs w:val="23"/>
        </w:rPr>
        <w:t>HAUTES FONCTIONS DE L’</w:t>
      </w:r>
      <w:r w:rsidRPr="00406EBF">
        <w:rPr>
          <w:rFonts w:asciiTheme="minorHAnsi" w:hAnsiTheme="minorHAnsi" w:cstheme="minorHAnsi"/>
          <w:color w:val="auto"/>
          <w:sz w:val="23"/>
          <w:szCs w:val="23"/>
        </w:rPr>
        <w:t>EX</w:t>
      </w:r>
      <w:r w:rsidR="00795E60" w:rsidRPr="00406EBF">
        <w:rPr>
          <w:rFonts w:asciiTheme="minorHAnsi" w:hAnsiTheme="minorHAnsi" w:cstheme="minorHAnsi"/>
          <w:color w:val="auto"/>
          <w:sz w:val="23"/>
          <w:szCs w:val="23"/>
        </w:rPr>
        <w:t>É</w:t>
      </w:r>
      <w:r w:rsidRPr="00406EBF">
        <w:rPr>
          <w:rFonts w:asciiTheme="minorHAnsi" w:hAnsiTheme="minorHAnsi" w:cstheme="minorHAnsi"/>
          <w:color w:val="auto"/>
          <w:sz w:val="23"/>
          <w:szCs w:val="23"/>
        </w:rPr>
        <w:t>CUTIF)</w:t>
      </w:r>
      <w:bookmarkEnd w:id="19"/>
    </w:p>
    <w:bookmarkStart w:id="20" w:name="_Toc342554249" w:displacedByCustomXml="next"/>
    <w:bookmarkStart w:id="21" w:name="_Toc342640924" w:displacedByCustomXml="next"/>
    <w:sdt>
      <w:sdtPr>
        <w:rPr>
          <w:rFonts w:asciiTheme="minorHAnsi" w:eastAsiaTheme="minorHAnsi" w:hAnsiTheme="minorHAnsi" w:cstheme="minorBidi"/>
          <w:b w:val="0"/>
          <w:bCs w:val="0"/>
          <w:color w:val="auto"/>
          <w:sz w:val="21"/>
          <w:szCs w:val="21"/>
          <w:lang w:val="en-US"/>
        </w:rPr>
        <w:tag w:val="{455EC0DC-4195-4D07-8034-66DF5D734C2E}"/>
        <w:id w:val="1289247279"/>
        <w:lock w:val="sdtLocked"/>
      </w:sdtPr>
      <w:sdtEndPr/>
      <w:sdtContent>
        <w:p w14:paraId="0D6F55B2" w14:textId="77777777" w:rsidR="00C762F8" w:rsidRPr="00406EBF" w:rsidRDefault="00C762F8" w:rsidP="001878CC">
          <w:pPr>
            <w:pStyle w:val="Titre2"/>
            <w:keepNext w:val="0"/>
            <w:keepLines w:val="0"/>
            <w:tabs>
              <w:tab w:val="left" w:pos="709"/>
            </w:tabs>
            <w:spacing w:before="0" w:line="240" w:lineRule="auto"/>
            <w:jc w:val="both"/>
            <w:rPr>
              <w:rFonts w:asciiTheme="minorHAnsi" w:hAnsiTheme="minorHAnsi"/>
              <w:color w:val="auto"/>
              <w:sz w:val="23"/>
              <w:szCs w:val="23"/>
              <w:u w:val="single"/>
            </w:rPr>
          </w:pPr>
        </w:p>
        <w:p w14:paraId="033754A0" w14:textId="77777777" w:rsidR="00A43B37" w:rsidRPr="00406EBF" w:rsidRDefault="00A43B37" w:rsidP="001878CC">
          <w:pPr>
            <w:pStyle w:val="Titre2"/>
            <w:tabs>
              <w:tab w:val="left" w:pos="709"/>
            </w:tabs>
            <w:spacing w:before="0" w:line="240" w:lineRule="auto"/>
            <w:rPr>
              <w:rFonts w:asciiTheme="minorHAnsi" w:hAnsiTheme="minorHAnsi"/>
              <w:color w:val="auto"/>
              <w:sz w:val="23"/>
              <w:szCs w:val="23"/>
              <w:u w:val="single"/>
            </w:rPr>
          </w:pPr>
          <w:bookmarkStart w:id="22" w:name="_Toc2777379"/>
          <w:bookmarkStart w:id="23" w:name="_Toc21339553"/>
          <w:bookmarkEnd w:id="21"/>
          <w:bookmarkEnd w:id="20"/>
          <w:r w:rsidRPr="00406EBF">
            <w:rPr>
              <w:rFonts w:asciiTheme="minorHAnsi" w:hAnsiTheme="minorHAnsi"/>
              <w:color w:val="auto"/>
              <w:sz w:val="23"/>
              <w:szCs w:val="23"/>
              <w:u w:val="single"/>
            </w:rPr>
            <w:t>Système de gouvernement et hautes fonctions de l’exécutif</w:t>
          </w:r>
          <w:bookmarkEnd w:id="22"/>
          <w:bookmarkEnd w:id="23"/>
        </w:p>
        <w:p w14:paraId="7CB6321F" w14:textId="77777777" w:rsidR="0010115C" w:rsidRPr="00406EBF" w:rsidRDefault="0010115C" w:rsidP="001878CC">
          <w:pPr>
            <w:tabs>
              <w:tab w:val="left" w:pos="709"/>
            </w:tabs>
            <w:spacing w:line="240" w:lineRule="auto"/>
            <w:jc w:val="both"/>
            <w:rPr>
              <w:rFonts w:cstheme="minorHAnsi"/>
              <w:sz w:val="23"/>
              <w:szCs w:val="23"/>
            </w:rPr>
          </w:pPr>
        </w:p>
        <w:p w14:paraId="74ADD1B6" w14:textId="77777777" w:rsidR="00CA5882" w:rsidRPr="00406EBF" w:rsidRDefault="00CA5882" w:rsidP="001878CC">
          <w:pPr>
            <w:pStyle w:val="Titre3"/>
            <w:tabs>
              <w:tab w:val="left" w:pos="709"/>
            </w:tabs>
            <w:spacing w:before="0" w:line="240" w:lineRule="auto"/>
            <w:rPr>
              <w:rFonts w:asciiTheme="minorHAnsi" w:hAnsiTheme="minorHAnsi" w:cstheme="minorHAnsi"/>
              <w:b w:val="0"/>
              <w:i/>
              <w:color w:val="auto"/>
              <w:sz w:val="23"/>
              <w:szCs w:val="23"/>
            </w:rPr>
          </w:pPr>
          <w:bookmarkStart w:id="24" w:name="_Toc2777380"/>
          <w:bookmarkStart w:id="25" w:name="_Toc21339554"/>
          <w:r w:rsidRPr="00406EBF">
            <w:rPr>
              <w:rFonts w:asciiTheme="minorHAnsi" w:hAnsiTheme="minorHAnsi" w:cstheme="minorHAnsi"/>
              <w:b w:val="0"/>
              <w:i/>
              <w:color w:val="auto"/>
              <w:sz w:val="23"/>
              <w:szCs w:val="23"/>
            </w:rPr>
            <w:t>Système de gouvernement</w:t>
          </w:r>
          <w:bookmarkEnd w:id="24"/>
          <w:bookmarkEnd w:id="25"/>
        </w:p>
        <w:p w14:paraId="4B532D06" w14:textId="77777777" w:rsidR="00CA5882" w:rsidRPr="00406EBF" w:rsidRDefault="00CA5882" w:rsidP="001878CC">
          <w:pPr>
            <w:spacing w:line="240" w:lineRule="auto"/>
            <w:jc w:val="both"/>
            <w:rPr>
              <w:i/>
              <w:sz w:val="23"/>
              <w:szCs w:val="23"/>
            </w:rPr>
          </w:pPr>
        </w:p>
        <w:p w14:paraId="50F32D66" w14:textId="77777777" w:rsidR="00CA5882" w:rsidRPr="00406EBF" w:rsidRDefault="00D755CE"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Belgique est une </w:t>
          </w:r>
          <w:r w:rsidR="007204FB" w:rsidRPr="00406EBF">
            <w:rPr>
              <w:rFonts w:cstheme="minorHAnsi"/>
              <w:sz w:val="23"/>
              <w:szCs w:val="23"/>
            </w:rPr>
            <w:t>démocratie</w:t>
          </w:r>
          <w:r w:rsidRPr="00406EBF">
            <w:rPr>
              <w:rFonts w:cstheme="minorHAnsi"/>
              <w:sz w:val="23"/>
              <w:szCs w:val="23"/>
            </w:rPr>
            <w:t xml:space="preserve"> parlementaire</w:t>
          </w:r>
          <w:r w:rsidR="007204FB" w:rsidRPr="00406EBF">
            <w:rPr>
              <w:rFonts w:cstheme="minorHAnsi"/>
              <w:sz w:val="23"/>
              <w:szCs w:val="23"/>
            </w:rPr>
            <w:t xml:space="preserve">, </w:t>
          </w:r>
          <w:r w:rsidR="004A1809" w:rsidRPr="00406EBF">
            <w:rPr>
              <w:rFonts w:cstheme="minorHAnsi"/>
              <w:sz w:val="23"/>
              <w:szCs w:val="23"/>
            </w:rPr>
            <w:t xml:space="preserve">qui prend la </w:t>
          </w:r>
          <w:r w:rsidR="007204FB" w:rsidRPr="00406EBF">
            <w:rPr>
              <w:rFonts w:cstheme="minorHAnsi"/>
              <w:sz w:val="23"/>
              <w:szCs w:val="23"/>
            </w:rPr>
            <w:t>forme d’une monarchie constitutionnelle</w:t>
          </w:r>
          <w:r w:rsidR="00CA5882" w:rsidRPr="00406EBF">
            <w:rPr>
              <w:rFonts w:cstheme="minorHAnsi"/>
              <w:sz w:val="23"/>
              <w:szCs w:val="23"/>
            </w:rPr>
            <w:t>.</w:t>
          </w:r>
          <w:r w:rsidRPr="00406EBF">
            <w:rPr>
              <w:rFonts w:cstheme="minorHAnsi"/>
              <w:sz w:val="23"/>
              <w:szCs w:val="23"/>
            </w:rPr>
            <w:t xml:space="preserve"> Entre 1970 et 1993, le pays a évolué vers une structure fédérale. Le pouvoir exécutif est exercé par le Roi et son gouvernement, constitué de ministres et de secrétaires d’Etat</w:t>
          </w:r>
          <w:r w:rsidR="007204FB" w:rsidRPr="00406EBF">
            <w:rPr>
              <w:rFonts w:cstheme="minorHAnsi"/>
              <w:sz w:val="23"/>
              <w:szCs w:val="23"/>
            </w:rPr>
            <w:t xml:space="preserve"> (art. 85 et ss de la Constitution</w:t>
          </w:r>
          <w:r w:rsidR="007204FB" w:rsidRPr="00406EBF">
            <w:rPr>
              <w:rStyle w:val="Appelnotedebasdep"/>
              <w:rFonts w:cstheme="minorHAnsi"/>
              <w:sz w:val="23"/>
              <w:szCs w:val="23"/>
            </w:rPr>
            <w:footnoteReference w:id="8"/>
          </w:r>
          <w:r w:rsidR="007204FB" w:rsidRPr="00406EBF">
            <w:rPr>
              <w:rFonts w:cstheme="minorHAnsi"/>
              <w:sz w:val="23"/>
              <w:szCs w:val="23"/>
            </w:rPr>
            <w:t>)</w:t>
          </w:r>
          <w:r w:rsidRPr="00406EBF">
            <w:rPr>
              <w:rFonts w:cstheme="minorHAnsi"/>
              <w:sz w:val="23"/>
              <w:szCs w:val="23"/>
            </w:rPr>
            <w:t xml:space="preserve">. </w:t>
          </w:r>
        </w:p>
        <w:p w14:paraId="1C218350" w14:textId="77777777" w:rsidR="00CA5882" w:rsidRPr="00406EBF" w:rsidRDefault="00CA5882" w:rsidP="001878CC">
          <w:pPr>
            <w:spacing w:line="240" w:lineRule="auto"/>
            <w:jc w:val="both"/>
            <w:rPr>
              <w:rFonts w:cstheme="minorHAnsi"/>
              <w:sz w:val="23"/>
              <w:szCs w:val="23"/>
            </w:rPr>
          </w:pPr>
        </w:p>
        <w:p w14:paraId="4CB7650F" w14:textId="77777777" w:rsidR="00CA5882" w:rsidRPr="00406EBF" w:rsidRDefault="00CA5882" w:rsidP="001878CC">
          <w:pPr>
            <w:keepNext/>
            <w:spacing w:line="240" w:lineRule="auto"/>
            <w:jc w:val="both"/>
            <w:rPr>
              <w:rFonts w:cstheme="minorHAnsi"/>
              <w:sz w:val="23"/>
              <w:szCs w:val="23"/>
              <w:u w:val="single"/>
            </w:rPr>
          </w:pPr>
          <w:r w:rsidRPr="00406EBF">
            <w:rPr>
              <w:rFonts w:cstheme="minorHAnsi"/>
              <w:sz w:val="23"/>
              <w:szCs w:val="23"/>
              <w:u w:val="single"/>
            </w:rPr>
            <w:t xml:space="preserve">Le </w:t>
          </w:r>
          <w:r w:rsidR="00F403DA" w:rsidRPr="00406EBF">
            <w:rPr>
              <w:rFonts w:cstheme="minorHAnsi"/>
              <w:sz w:val="23"/>
              <w:szCs w:val="23"/>
              <w:u w:val="single"/>
            </w:rPr>
            <w:t>Roi</w:t>
          </w:r>
        </w:p>
        <w:p w14:paraId="32ACD7DA" w14:textId="77777777" w:rsidR="00F93327" w:rsidRPr="00406EBF" w:rsidRDefault="00F93327" w:rsidP="001878CC">
          <w:pPr>
            <w:spacing w:line="240" w:lineRule="auto"/>
            <w:jc w:val="both"/>
            <w:rPr>
              <w:i/>
              <w:sz w:val="23"/>
              <w:szCs w:val="23"/>
            </w:rPr>
          </w:pPr>
        </w:p>
        <w:p w14:paraId="2BE19326" w14:textId="77777777" w:rsidR="00B10D33" w:rsidRPr="00406EBF" w:rsidRDefault="00F403DA"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Roi règne, mais ne gouverne pas. Il ne peut agir seul. La personne du Roi étant inviolable, tous ses actes doivent être couverts par un ministre qui s’en rend responsable devant le Parlement (art. 88 et 106 de la Constitution). </w:t>
          </w:r>
        </w:p>
        <w:p w14:paraId="07D6E130" w14:textId="77777777" w:rsidR="00B10D33" w:rsidRPr="00406EBF" w:rsidRDefault="00B10D33" w:rsidP="001878CC">
          <w:pPr>
            <w:spacing w:line="240" w:lineRule="auto"/>
            <w:jc w:val="both"/>
            <w:rPr>
              <w:rFonts w:cstheme="minorHAnsi"/>
              <w:sz w:val="23"/>
              <w:szCs w:val="23"/>
            </w:rPr>
          </w:pPr>
        </w:p>
        <w:p w14:paraId="5989B3BF" w14:textId="7793F2DF" w:rsidR="00D43AC8" w:rsidRPr="00406EBF" w:rsidRDefault="00F403DA"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Roi procède à certaines nominations </w:t>
          </w:r>
          <w:r w:rsidR="00D37E76">
            <w:rPr>
              <w:rFonts w:cstheme="minorHAnsi"/>
              <w:sz w:val="23"/>
              <w:szCs w:val="23"/>
            </w:rPr>
            <w:t xml:space="preserve">formelles </w:t>
          </w:r>
          <w:r w:rsidRPr="00406EBF">
            <w:rPr>
              <w:rFonts w:cstheme="minorHAnsi"/>
              <w:sz w:val="23"/>
              <w:szCs w:val="23"/>
            </w:rPr>
            <w:t>– ministres, mandataires, emplois d’administration générale et de relation</w:t>
          </w:r>
          <w:r w:rsidR="00DC52EC">
            <w:rPr>
              <w:rFonts w:cstheme="minorHAnsi"/>
              <w:sz w:val="23"/>
              <w:szCs w:val="23"/>
            </w:rPr>
            <w:t>s</w:t>
          </w:r>
          <w:r w:rsidRPr="00406EBF">
            <w:rPr>
              <w:rFonts w:cstheme="minorHAnsi"/>
              <w:sz w:val="23"/>
              <w:szCs w:val="23"/>
            </w:rPr>
            <w:t xml:space="preserve"> extérieure</w:t>
          </w:r>
          <w:r w:rsidR="00DC52EC">
            <w:rPr>
              <w:rFonts w:cstheme="minorHAnsi"/>
              <w:sz w:val="23"/>
              <w:szCs w:val="23"/>
            </w:rPr>
            <w:t>s</w:t>
          </w:r>
          <w:r w:rsidRPr="00406EBF">
            <w:rPr>
              <w:rFonts w:cstheme="minorHAnsi"/>
              <w:sz w:val="23"/>
              <w:szCs w:val="23"/>
            </w:rPr>
            <w:t xml:space="preserve">, officiers du ministère public près des cours et tribunaux, juges de paix, juges des tribunaux, conseillers des cours et de la Cour de cassation. </w:t>
          </w:r>
          <w:r w:rsidR="00B10D33" w:rsidRPr="00406EBF">
            <w:rPr>
              <w:rFonts w:cstheme="minorHAnsi"/>
              <w:sz w:val="23"/>
              <w:szCs w:val="23"/>
            </w:rPr>
            <w:t>Sauf s’agissant des ministres, ces nominations se font sous le contrôle du ministre compétent et selon les modalités déterminées par la loi</w:t>
          </w:r>
          <w:r w:rsidR="00562AA4" w:rsidRPr="00562AA4">
            <w:rPr>
              <w:rFonts w:cstheme="minorHAnsi"/>
              <w:sz w:val="23"/>
              <w:szCs w:val="23"/>
            </w:rPr>
            <w:t>.</w:t>
          </w:r>
        </w:p>
        <w:p w14:paraId="12C180E7" w14:textId="77777777" w:rsidR="00BD62F1" w:rsidRPr="00406EBF" w:rsidRDefault="00BD62F1" w:rsidP="001878CC">
          <w:pPr>
            <w:pStyle w:val="Paragraphedeliste"/>
            <w:rPr>
              <w:rFonts w:cstheme="minorHAnsi"/>
              <w:sz w:val="23"/>
              <w:szCs w:val="23"/>
            </w:rPr>
          </w:pPr>
        </w:p>
        <w:p w14:paraId="247AE195" w14:textId="77777777" w:rsidR="00BD62F1" w:rsidRPr="00406EBF" w:rsidRDefault="00BD62F1"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Roi sanctionne et promulgue les lois, </w:t>
          </w:r>
          <w:r w:rsidR="004A1809" w:rsidRPr="00406EBF">
            <w:rPr>
              <w:rFonts w:cstheme="minorHAnsi"/>
              <w:sz w:val="23"/>
              <w:szCs w:val="23"/>
            </w:rPr>
            <w:t xml:space="preserve">mais il ne peut ni les suspendre, </w:t>
          </w:r>
          <w:r w:rsidRPr="00406EBF">
            <w:rPr>
              <w:rFonts w:cstheme="minorHAnsi"/>
              <w:sz w:val="23"/>
              <w:szCs w:val="23"/>
            </w:rPr>
            <w:t>ni dispenser de leur exécution. Sur proposition du ministre de la Justice, le Roi a le droit de remettre ou de réduire les peines prononcées par les juges, sauf dans les affaires mettant en cause les ministres et les membres des Gouvernements de communauté ou de région. Le Roi ne peut faire grâce au ministre ou au membre d'un gouvernement de communauté ou de région condamné par la Cour de cassation que sur la demande de la Chambre des représentants ou du Parlement concerné.</w:t>
          </w:r>
        </w:p>
        <w:p w14:paraId="192CC56E" w14:textId="77777777" w:rsidR="00BD62F1" w:rsidRPr="00406EBF" w:rsidRDefault="00BD62F1" w:rsidP="001878CC">
          <w:pPr>
            <w:pStyle w:val="Paragraphedeliste"/>
            <w:rPr>
              <w:rFonts w:cstheme="minorHAnsi"/>
              <w:sz w:val="23"/>
              <w:szCs w:val="23"/>
            </w:rPr>
          </w:pPr>
        </w:p>
        <w:p w14:paraId="659EDE8E" w14:textId="77777777" w:rsidR="00BD62F1" w:rsidRPr="00406EBF" w:rsidRDefault="00BD62F1"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Enfin, le </w:t>
          </w:r>
          <w:r w:rsidR="00B3452C" w:rsidRPr="00406EBF">
            <w:rPr>
              <w:rFonts w:cstheme="minorHAnsi"/>
              <w:sz w:val="23"/>
              <w:szCs w:val="23"/>
            </w:rPr>
            <w:t>Roi a le droit de conférer des titres de noblesse et les ordres militaires. Tous ses projets de déplacements doivent être transmis au ministre des Affaires Etrangères à des fins de transparence financière et d’opportunité politique. Les déplacements de signif</w:t>
          </w:r>
          <w:r w:rsidR="00A712BB">
            <w:rPr>
              <w:rFonts w:cstheme="minorHAnsi"/>
              <w:sz w:val="23"/>
              <w:szCs w:val="23"/>
            </w:rPr>
            <w:t>i</w:t>
          </w:r>
          <w:r w:rsidR="00B3452C" w:rsidRPr="00406EBF">
            <w:rPr>
              <w:rFonts w:cstheme="minorHAnsi"/>
              <w:sz w:val="23"/>
              <w:szCs w:val="23"/>
            </w:rPr>
            <w:t xml:space="preserve">cation politique sont soumis à l’avis conforme du ministre. </w:t>
          </w:r>
        </w:p>
        <w:p w14:paraId="1ACCE65F" w14:textId="77777777" w:rsidR="00B3452C" w:rsidRPr="00406EBF" w:rsidRDefault="00B3452C" w:rsidP="001878CC">
          <w:pPr>
            <w:tabs>
              <w:tab w:val="left" w:pos="709"/>
            </w:tabs>
            <w:spacing w:line="240" w:lineRule="auto"/>
            <w:jc w:val="both"/>
            <w:rPr>
              <w:rFonts w:cstheme="minorHAnsi"/>
              <w:sz w:val="23"/>
              <w:szCs w:val="23"/>
            </w:rPr>
          </w:pPr>
        </w:p>
        <w:p w14:paraId="41AE9CDC" w14:textId="77777777" w:rsidR="00B3452C" w:rsidRPr="00406EBF" w:rsidRDefault="00B3452C"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Tel qu’approuvé par le GRECO, un chef d'État sera couvert par le 5e cycle d'évaluation au titre de la thématique « gouvernements centraux (hautes fonctions de l’exécutif) » lorsqu'il participe activement et régulièrement au développement et/ou à l’exercice de fonctions gouvernementales, ou conseille le gouvernement sur l’exercice de telles fonctions. Ces dernières peuvent comprendre la définition et la mise en œuvre de politiques, l'application de lois, la proposition et/ou la mise en œuvre de lois, l'adoption et la mise en œuvre de règlements/décrets normatifs, la prise de décisions sur les dépenses publiques et la prise de décisions sur la nomination de personnes occupant de hautes fonctions de l’exécutif.</w:t>
          </w:r>
        </w:p>
        <w:p w14:paraId="62C46F4C" w14:textId="77777777" w:rsidR="00B3452C" w:rsidRPr="00406EBF" w:rsidRDefault="00B3452C" w:rsidP="001878CC">
          <w:pPr>
            <w:tabs>
              <w:tab w:val="left" w:pos="709"/>
            </w:tabs>
            <w:spacing w:line="240" w:lineRule="auto"/>
            <w:jc w:val="both"/>
            <w:rPr>
              <w:rFonts w:cstheme="minorHAnsi"/>
              <w:sz w:val="23"/>
              <w:szCs w:val="23"/>
            </w:rPr>
          </w:pPr>
        </w:p>
        <w:p w14:paraId="24EEAC79" w14:textId="77777777" w:rsidR="00B3452C" w:rsidRPr="00406EBF" w:rsidRDefault="00B3452C"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L’EEG note qu’en Belgique, les fonctions du Roi sont uniquement de nature symbolique et honorifique, il ne participe pas aux fonctions gouvernementales de manière active ou régulière. </w:t>
          </w:r>
          <w:r w:rsidR="00B45856" w:rsidRPr="00406EBF">
            <w:rPr>
              <w:rFonts w:cstheme="minorHAnsi"/>
              <w:sz w:val="23"/>
              <w:szCs w:val="23"/>
            </w:rPr>
            <w:t xml:space="preserve">Tous ses actes doivent être préparés et validés par un ministre, qui en endosse la responsabilité. </w:t>
          </w:r>
          <w:r w:rsidRPr="00406EBF">
            <w:rPr>
              <w:rFonts w:cstheme="minorHAnsi"/>
              <w:sz w:val="23"/>
              <w:szCs w:val="23"/>
            </w:rPr>
            <w:lastRenderedPageBreak/>
            <w:t xml:space="preserve">Il en ressort que le </w:t>
          </w:r>
          <w:r w:rsidR="00B45856" w:rsidRPr="00406EBF">
            <w:rPr>
              <w:rFonts w:cstheme="minorHAnsi"/>
              <w:sz w:val="23"/>
              <w:szCs w:val="23"/>
            </w:rPr>
            <w:t xml:space="preserve">Roi n’entre </w:t>
          </w:r>
          <w:r w:rsidRPr="00406EBF">
            <w:rPr>
              <w:rFonts w:cstheme="minorHAnsi"/>
              <w:sz w:val="23"/>
              <w:szCs w:val="23"/>
            </w:rPr>
            <w:t xml:space="preserve">pas dans la catégorie « des personnes occupant de hautes fonctions de l’exécutif » (PHFE), </w:t>
          </w:r>
          <w:r w:rsidR="00B45856" w:rsidRPr="00406EBF">
            <w:rPr>
              <w:rFonts w:cstheme="minorHAnsi"/>
              <w:sz w:val="23"/>
              <w:szCs w:val="23"/>
            </w:rPr>
            <w:t xml:space="preserve">telle qu’elle est décrite au </w:t>
          </w:r>
          <w:r w:rsidR="00B45856" w:rsidRPr="004409F8">
            <w:rPr>
              <w:rFonts w:cstheme="minorHAnsi"/>
              <w:sz w:val="23"/>
              <w:szCs w:val="23"/>
            </w:rPr>
            <w:t xml:space="preserve">paragraphe </w:t>
          </w:r>
          <w:r w:rsidR="00A712BB" w:rsidRPr="004409F8">
            <w:rPr>
              <w:rFonts w:cstheme="minorHAnsi"/>
              <w:sz w:val="23"/>
              <w:szCs w:val="23"/>
            </w:rPr>
            <w:t>19</w:t>
          </w:r>
          <w:r w:rsidRPr="004409F8">
            <w:rPr>
              <w:rFonts w:cstheme="minorHAnsi"/>
              <w:sz w:val="23"/>
              <w:szCs w:val="23"/>
            </w:rPr>
            <w:t>.</w:t>
          </w:r>
          <w:r w:rsidRPr="00406EBF">
            <w:rPr>
              <w:rFonts w:cstheme="minorHAnsi"/>
              <w:sz w:val="23"/>
              <w:szCs w:val="23"/>
            </w:rPr>
            <w:t xml:space="preserve"> </w:t>
          </w:r>
        </w:p>
        <w:p w14:paraId="735B6D14" w14:textId="77777777" w:rsidR="00FB05FF" w:rsidRPr="00406EBF" w:rsidRDefault="00FB05FF" w:rsidP="001878CC">
          <w:pPr>
            <w:spacing w:line="240" w:lineRule="auto"/>
            <w:jc w:val="both"/>
            <w:rPr>
              <w:rFonts w:cstheme="minorHAnsi"/>
              <w:sz w:val="23"/>
              <w:szCs w:val="23"/>
            </w:rPr>
          </w:pPr>
        </w:p>
        <w:p w14:paraId="15749147" w14:textId="77777777" w:rsidR="00CA5882" w:rsidRPr="00406EBF" w:rsidRDefault="00CA5882" w:rsidP="001878CC">
          <w:pPr>
            <w:keepNext/>
            <w:spacing w:line="240" w:lineRule="auto"/>
            <w:jc w:val="both"/>
            <w:rPr>
              <w:rFonts w:cstheme="minorHAnsi"/>
              <w:sz w:val="23"/>
              <w:szCs w:val="23"/>
              <w:u w:val="single"/>
            </w:rPr>
          </w:pPr>
          <w:r w:rsidRPr="00406EBF">
            <w:rPr>
              <w:rFonts w:cstheme="minorHAnsi"/>
              <w:sz w:val="23"/>
              <w:szCs w:val="23"/>
              <w:u w:val="single"/>
            </w:rPr>
            <w:t xml:space="preserve">Le </w:t>
          </w:r>
          <w:r w:rsidR="00F403DA" w:rsidRPr="00406EBF">
            <w:rPr>
              <w:rFonts w:cstheme="minorHAnsi"/>
              <w:sz w:val="23"/>
              <w:szCs w:val="23"/>
              <w:u w:val="single"/>
            </w:rPr>
            <w:t>g</w:t>
          </w:r>
          <w:r w:rsidRPr="00406EBF">
            <w:rPr>
              <w:rFonts w:cstheme="minorHAnsi"/>
              <w:sz w:val="23"/>
              <w:szCs w:val="23"/>
              <w:u w:val="single"/>
            </w:rPr>
            <w:t>ouvernement</w:t>
          </w:r>
        </w:p>
        <w:p w14:paraId="33F611C2" w14:textId="77777777" w:rsidR="00CA5882" w:rsidRPr="00406EBF" w:rsidRDefault="00CA5882" w:rsidP="001878CC">
          <w:pPr>
            <w:spacing w:line="240" w:lineRule="auto"/>
            <w:jc w:val="both"/>
            <w:rPr>
              <w:rFonts w:cstheme="minorHAnsi"/>
              <w:sz w:val="23"/>
              <w:szCs w:val="23"/>
            </w:rPr>
          </w:pPr>
        </w:p>
        <w:p w14:paraId="02140577" w14:textId="4B2D7F2C" w:rsidR="00EF60E4" w:rsidRPr="00406EBF" w:rsidRDefault="006315B1"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gouvernement fédéral est un organe collégial dirigé par le </w:t>
          </w:r>
          <w:r w:rsidR="0072395A" w:rsidRPr="00406EBF">
            <w:rPr>
              <w:rFonts w:cstheme="minorHAnsi"/>
              <w:sz w:val="23"/>
              <w:szCs w:val="23"/>
            </w:rPr>
            <w:t>P</w:t>
          </w:r>
          <w:r w:rsidRPr="00406EBF">
            <w:rPr>
              <w:rFonts w:cstheme="minorHAnsi"/>
              <w:sz w:val="23"/>
              <w:szCs w:val="23"/>
            </w:rPr>
            <w:t>remier ministre et composé de 15 ministres au maximum. La Constitution exige la présence de personnes de sexe différent au sein du Conseil des ministres (art. 11bis), mais n’impose pas la parité. La parité linguistique est, elle, requise, mais elle ne concerne p</w:t>
          </w:r>
          <w:r w:rsidR="003726F5" w:rsidRPr="00406EBF">
            <w:rPr>
              <w:rFonts w:cstheme="minorHAnsi"/>
              <w:sz w:val="23"/>
              <w:szCs w:val="23"/>
            </w:rPr>
            <w:t xml:space="preserve">as </w:t>
          </w:r>
          <w:r w:rsidR="00562AA4">
            <w:rPr>
              <w:rFonts w:cstheme="minorHAnsi"/>
              <w:sz w:val="23"/>
              <w:szCs w:val="23"/>
            </w:rPr>
            <w:t xml:space="preserve">nécessairement le </w:t>
          </w:r>
          <w:r w:rsidR="003726F5" w:rsidRPr="00406EBF">
            <w:rPr>
              <w:rFonts w:cstheme="minorHAnsi"/>
              <w:sz w:val="23"/>
              <w:szCs w:val="23"/>
            </w:rPr>
            <w:t xml:space="preserve">premier ministre qui est le chef du gouvernement et représente tous les Belges. </w:t>
          </w:r>
          <w:r w:rsidR="009805AA" w:rsidRPr="00406EBF">
            <w:rPr>
              <w:rFonts w:cstheme="minorHAnsi"/>
              <w:sz w:val="23"/>
              <w:szCs w:val="23"/>
            </w:rPr>
            <w:t>Elle ne concerne pas non plus les secrétaires d’Etat, qui assistent certains ministres mais ne font pas partie du Conseil des ministres.</w:t>
          </w:r>
          <w:r w:rsidR="000538D3" w:rsidRPr="00406EBF">
            <w:rPr>
              <w:rFonts w:cstheme="minorHAnsi"/>
              <w:sz w:val="23"/>
              <w:szCs w:val="23"/>
            </w:rPr>
            <w:t xml:space="preserve"> L’EEG note que, bien que ne faisant pas partie du Conseil des ministres, les secrétaires d’Etat </w:t>
          </w:r>
          <w:r w:rsidR="00562AA4">
            <w:rPr>
              <w:rFonts w:cstheme="minorHAnsi"/>
              <w:sz w:val="23"/>
              <w:szCs w:val="23"/>
            </w:rPr>
            <w:t>exercent des mandats politiques et sont</w:t>
          </w:r>
          <w:r w:rsidR="000538D3" w:rsidRPr="00406EBF">
            <w:rPr>
              <w:rFonts w:cstheme="minorHAnsi"/>
              <w:sz w:val="23"/>
              <w:szCs w:val="23"/>
            </w:rPr>
            <w:t xml:space="preserve"> membres de l’exécutif. Ils doivent donc être considérées comme des PHFE au sens de la présente évaluation.</w:t>
          </w:r>
        </w:p>
        <w:p w14:paraId="55224C5E" w14:textId="77777777" w:rsidR="003726F5" w:rsidRPr="00406EBF" w:rsidRDefault="003726F5" w:rsidP="001878CC">
          <w:pPr>
            <w:pStyle w:val="Paragraphedeliste"/>
            <w:rPr>
              <w:rFonts w:cstheme="minorHAnsi"/>
              <w:sz w:val="23"/>
              <w:szCs w:val="23"/>
            </w:rPr>
          </w:pPr>
        </w:p>
        <w:p w14:paraId="1FD89D73" w14:textId="34BE9A78" w:rsidR="003726F5" w:rsidRPr="00406EBF" w:rsidRDefault="003726F5"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Au sein du gouvernement, il y a des vice-premiers ministres qui sont les interlocuteurs privilégiés du premier ministre. Ce sont souvent les chefs de file des partis gouvernementaux. A ce titre, ils sont amenés à arbitrer les conflits et à proposer des compromis </w:t>
          </w:r>
          <w:r w:rsidR="00562AA4">
            <w:rPr>
              <w:rFonts w:cstheme="minorHAnsi"/>
              <w:sz w:val="23"/>
              <w:szCs w:val="23"/>
            </w:rPr>
            <w:t xml:space="preserve">en vue de trouver une solution sur des dossiers importants. </w:t>
          </w:r>
        </w:p>
        <w:p w14:paraId="541D1373" w14:textId="77777777" w:rsidR="003726F5" w:rsidRPr="00406EBF" w:rsidRDefault="003726F5" w:rsidP="001878CC">
          <w:pPr>
            <w:pStyle w:val="Paragraphedeliste"/>
            <w:rPr>
              <w:rFonts w:cstheme="minorHAnsi"/>
              <w:sz w:val="23"/>
              <w:szCs w:val="23"/>
            </w:rPr>
          </w:pPr>
        </w:p>
        <w:p w14:paraId="7A801856" w14:textId="0B07B352" w:rsidR="003726F5" w:rsidRPr="00406EBF" w:rsidRDefault="000E6CB2"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Depuis</w:t>
          </w:r>
          <w:r w:rsidR="003726F5" w:rsidRPr="00406EBF">
            <w:rPr>
              <w:rFonts w:cstheme="minorHAnsi"/>
              <w:sz w:val="23"/>
              <w:szCs w:val="23"/>
            </w:rPr>
            <w:t xml:space="preserve"> la démission </w:t>
          </w:r>
          <w:r w:rsidR="00861B85">
            <w:rPr>
              <w:rFonts w:cstheme="minorHAnsi"/>
              <w:sz w:val="23"/>
              <w:szCs w:val="23"/>
            </w:rPr>
            <w:t>acceptée du gouvernement</w:t>
          </w:r>
          <w:r w:rsidR="003726F5" w:rsidRPr="00406EBF">
            <w:rPr>
              <w:rFonts w:cstheme="minorHAnsi"/>
              <w:sz w:val="23"/>
              <w:szCs w:val="23"/>
            </w:rPr>
            <w:t xml:space="preserve"> du 21 décembre 2018, </w:t>
          </w:r>
          <w:r w:rsidR="00861B85">
            <w:rPr>
              <w:rFonts w:cstheme="minorHAnsi"/>
              <w:sz w:val="23"/>
              <w:szCs w:val="23"/>
            </w:rPr>
            <w:t>celui-ci</w:t>
          </w:r>
          <w:r w:rsidR="003726F5" w:rsidRPr="00406EBF">
            <w:rPr>
              <w:rFonts w:cstheme="minorHAnsi"/>
              <w:sz w:val="23"/>
              <w:szCs w:val="23"/>
            </w:rPr>
            <w:t xml:space="preserve"> </w:t>
          </w:r>
          <w:r w:rsidRPr="00406EBF">
            <w:rPr>
              <w:rFonts w:cstheme="minorHAnsi"/>
              <w:sz w:val="23"/>
              <w:szCs w:val="23"/>
            </w:rPr>
            <w:t xml:space="preserve">ne </w:t>
          </w:r>
          <w:r w:rsidR="003726F5" w:rsidRPr="00406EBF">
            <w:rPr>
              <w:rFonts w:cstheme="minorHAnsi"/>
              <w:sz w:val="23"/>
              <w:szCs w:val="23"/>
            </w:rPr>
            <w:t xml:space="preserve">gère que les affaires courantes. </w:t>
          </w:r>
          <w:r w:rsidRPr="00406EBF">
            <w:rPr>
              <w:rFonts w:cstheme="minorHAnsi"/>
              <w:sz w:val="23"/>
              <w:szCs w:val="23"/>
            </w:rPr>
            <w:t>Cette situation s’est prolongée à la suite des élections du 26 mai 2019, dans l’attente de la formation d’un nouveau gouvernement. Ce gouvernement en affaires courantes</w:t>
          </w:r>
          <w:r w:rsidR="003726F5" w:rsidRPr="00406EBF">
            <w:rPr>
              <w:rFonts w:cstheme="minorHAnsi"/>
              <w:sz w:val="23"/>
              <w:szCs w:val="23"/>
            </w:rPr>
            <w:t xml:space="preserve"> </w:t>
          </w:r>
          <w:r w:rsidR="009805AA" w:rsidRPr="00406EBF">
            <w:rPr>
              <w:rFonts w:cstheme="minorHAnsi"/>
              <w:sz w:val="23"/>
              <w:szCs w:val="23"/>
            </w:rPr>
            <w:t>se compose du premier ministre, de trois vice-premiers ministres et de neuf ministres</w:t>
          </w:r>
          <w:r w:rsidR="00B634ED" w:rsidRPr="00406EBF">
            <w:rPr>
              <w:rFonts w:cstheme="minorHAnsi"/>
              <w:sz w:val="23"/>
              <w:szCs w:val="23"/>
            </w:rPr>
            <w:t xml:space="preserve">, </w:t>
          </w:r>
          <w:r w:rsidR="009805AA" w:rsidRPr="00406EBF">
            <w:rPr>
              <w:rFonts w:cstheme="minorHAnsi"/>
              <w:sz w:val="23"/>
              <w:szCs w:val="23"/>
            </w:rPr>
            <w:t xml:space="preserve">dont </w:t>
          </w:r>
          <w:r w:rsidR="00861B85">
            <w:rPr>
              <w:rFonts w:cstheme="minorHAnsi"/>
              <w:sz w:val="23"/>
              <w:szCs w:val="23"/>
            </w:rPr>
            <w:t>quatre</w:t>
          </w:r>
          <w:r w:rsidR="00861B85" w:rsidRPr="00406EBF">
            <w:rPr>
              <w:rFonts w:cstheme="minorHAnsi"/>
              <w:sz w:val="23"/>
              <w:szCs w:val="23"/>
            </w:rPr>
            <w:t xml:space="preserve"> </w:t>
          </w:r>
          <w:r w:rsidR="009805AA" w:rsidRPr="00406EBF">
            <w:rPr>
              <w:rFonts w:cstheme="minorHAnsi"/>
              <w:sz w:val="23"/>
              <w:szCs w:val="23"/>
            </w:rPr>
            <w:t>femmes.</w:t>
          </w:r>
          <w:r w:rsidRPr="00406EBF">
            <w:rPr>
              <w:rFonts w:cstheme="minorHAnsi"/>
              <w:sz w:val="23"/>
              <w:szCs w:val="23"/>
            </w:rPr>
            <w:t xml:space="preserve"> L’EEG observe que cette composition n’est pas </w:t>
          </w:r>
          <w:r w:rsidR="00B72A75" w:rsidRPr="00406EBF">
            <w:rPr>
              <w:rFonts w:cstheme="minorHAnsi"/>
              <w:sz w:val="23"/>
              <w:szCs w:val="23"/>
            </w:rPr>
            <w:t xml:space="preserve">conforme à la </w:t>
          </w:r>
          <w:hyperlink r:id="rId22" w:tgtFrame="_blank" w:history="1">
            <w:r w:rsidR="00B72A75" w:rsidRPr="00406EBF">
              <w:rPr>
                <w:rFonts w:cstheme="minorHAnsi"/>
                <w:sz w:val="23"/>
                <w:szCs w:val="23"/>
                <w:u w:val="single"/>
              </w:rPr>
              <w:t>Recommandation Rec(2003)3 du Comité des Ministres sur la participation équilibrée des femmes et des hommes à la prise de décision politique et publique</w:t>
            </w:r>
          </w:hyperlink>
          <w:r w:rsidR="00B72A75" w:rsidRPr="00406EBF">
            <w:rPr>
              <w:rFonts w:cstheme="minorHAnsi"/>
              <w:sz w:val="23"/>
              <w:szCs w:val="23"/>
            </w:rPr>
            <w:t>, selon laquelle la participation équilibrée des femmes et des hommes signifie que la représentation de chacun des deux sexes au sein d’une instance de décision dans la vie politique ou publique ne doit pas être inférieure à 40 %. L'EEG encourage donc les autorités à intensifier leurs efforts en vue d'un meilleur équilibre entre les hommes et les femmes au sein du prochain gouvernement.</w:t>
          </w:r>
        </w:p>
        <w:p w14:paraId="1F329B39" w14:textId="77777777" w:rsidR="006315B1" w:rsidRPr="00406EBF" w:rsidRDefault="006315B1" w:rsidP="001878CC">
          <w:pPr>
            <w:pStyle w:val="Paragraphedeliste"/>
            <w:rPr>
              <w:rFonts w:cstheme="minorHAnsi"/>
              <w:sz w:val="23"/>
              <w:szCs w:val="23"/>
            </w:rPr>
          </w:pPr>
        </w:p>
        <w:p w14:paraId="73799679" w14:textId="4176FE6C" w:rsidR="006315B1" w:rsidRPr="00406EBF" w:rsidRDefault="00F402BE"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gouvernement prend ses décisions de manière collégiale. Le Conseil des ministres délibère jusqu’à l’obtention d’un consensus. Si un consensus ne peut être atteint, le dossier est reporté. Tous les ministres sont solidairement responsables de la décision prise. </w:t>
          </w:r>
        </w:p>
        <w:p w14:paraId="1A8E85B6" w14:textId="77777777" w:rsidR="00522386" w:rsidRPr="00406EBF" w:rsidRDefault="00522386" w:rsidP="001878CC">
          <w:pPr>
            <w:pStyle w:val="Paragraphedeliste"/>
            <w:rPr>
              <w:rFonts w:cstheme="minorHAnsi"/>
              <w:sz w:val="23"/>
              <w:szCs w:val="23"/>
            </w:rPr>
          </w:pPr>
        </w:p>
        <w:p w14:paraId="68AC645E" w14:textId="4BA1011D" w:rsidR="00522386" w:rsidRPr="00406EBF" w:rsidRDefault="00522386"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Sur habilitation d’un arrêté royal – arrêté pris par le Roi sous la responsabilité d’un ou plusieurs ministres</w:t>
          </w:r>
          <w:r w:rsidR="00225815" w:rsidRPr="00406EBF">
            <w:rPr>
              <w:rFonts w:cstheme="minorHAnsi"/>
              <w:sz w:val="23"/>
              <w:szCs w:val="23"/>
            </w:rPr>
            <w:t xml:space="preserve"> </w:t>
          </w:r>
          <w:r w:rsidRPr="00406EBF">
            <w:rPr>
              <w:rFonts w:cstheme="minorHAnsi"/>
              <w:sz w:val="23"/>
              <w:szCs w:val="23"/>
            </w:rPr>
            <w:t>– les ministres peuvent prendre des mesures sous forme d’arrêtés ministériels. Ceu</w:t>
          </w:r>
          <w:r w:rsidR="00084089">
            <w:rPr>
              <w:rFonts w:cstheme="minorHAnsi"/>
              <w:sz w:val="23"/>
              <w:szCs w:val="23"/>
            </w:rPr>
            <w:t>x</w:t>
          </w:r>
          <w:r w:rsidRPr="00406EBF">
            <w:rPr>
              <w:rFonts w:cstheme="minorHAnsi"/>
              <w:sz w:val="23"/>
              <w:szCs w:val="23"/>
            </w:rPr>
            <w:t xml:space="preserve">-ci ne peuvent toutefois porter que sur des mesures d’exécution accessoires ou de détail. </w:t>
          </w:r>
        </w:p>
        <w:p w14:paraId="38934E67" w14:textId="77777777" w:rsidR="00685BD9" w:rsidRPr="00406EBF" w:rsidRDefault="00685BD9" w:rsidP="00685BD9">
          <w:pPr>
            <w:pStyle w:val="Paragraphedeliste"/>
            <w:rPr>
              <w:rFonts w:cstheme="minorHAnsi"/>
              <w:sz w:val="23"/>
              <w:szCs w:val="23"/>
            </w:rPr>
          </w:pPr>
        </w:p>
        <w:p w14:paraId="0633A09C" w14:textId="77777777" w:rsidR="0072395A" w:rsidRPr="00406EBF" w:rsidRDefault="0072395A" w:rsidP="0072395A">
          <w:pPr>
            <w:pStyle w:val="Titre3"/>
            <w:tabs>
              <w:tab w:val="left" w:pos="709"/>
            </w:tabs>
            <w:spacing w:before="0" w:line="240" w:lineRule="auto"/>
            <w:rPr>
              <w:rFonts w:asciiTheme="minorHAnsi" w:hAnsiTheme="minorHAnsi" w:cstheme="minorHAnsi"/>
              <w:b w:val="0"/>
              <w:i/>
              <w:color w:val="auto"/>
              <w:sz w:val="23"/>
              <w:szCs w:val="23"/>
            </w:rPr>
          </w:pPr>
          <w:bookmarkStart w:id="26" w:name="_Toc2777381"/>
          <w:bookmarkStart w:id="27" w:name="_Toc21339555"/>
          <w:r w:rsidRPr="00406EBF">
            <w:rPr>
              <w:rFonts w:asciiTheme="minorHAnsi" w:hAnsiTheme="minorHAnsi" w:cstheme="minorHAnsi"/>
              <w:b w:val="0"/>
              <w:i/>
              <w:color w:val="auto"/>
              <w:sz w:val="23"/>
              <w:szCs w:val="23"/>
            </w:rPr>
            <w:t>Statut et rémunération des personnes occupant de hautes fonctions de l’exécutif au niveau national</w:t>
          </w:r>
          <w:bookmarkEnd w:id="26"/>
          <w:bookmarkEnd w:id="27"/>
        </w:p>
        <w:p w14:paraId="05A53653" w14:textId="77777777" w:rsidR="0072395A" w:rsidRPr="00406EBF" w:rsidRDefault="0072395A" w:rsidP="0072395A">
          <w:pPr>
            <w:keepNext/>
            <w:keepLines/>
            <w:tabs>
              <w:tab w:val="left" w:pos="709"/>
            </w:tabs>
            <w:spacing w:line="240" w:lineRule="auto"/>
            <w:jc w:val="both"/>
            <w:rPr>
              <w:rFonts w:cstheme="minorHAnsi"/>
              <w:sz w:val="23"/>
              <w:szCs w:val="23"/>
            </w:rPr>
          </w:pPr>
        </w:p>
        <w:p w14:paraId="2E21C3BA" w14:textId="77777777" w:rsidR="0072395A" w:rsidRPr="00406EBF" w:rsidRDefault="0072395A" w:rsidP="0072395A">
          <w:pPr>
            <w:numPr>
              <w:ilvl w:val="0"/>
              <w:numId w:val="1"/>
            </w:numPr>
            <w:tabs>
              <w:tab w:val="left" w:pos="709"/>
            </w:tabs>
            <w:spacing w:line="240" w:lineRule="auto"/>
            <w:ind w:left="0" w:firstLine="0"/>
            <w:jc w:val="both"/>
            <w:rPr>
              <w:rFonts w:cstheme="minorHAnsi"/>
              <w:sz w:val="23"/>
              <w:szCs w:val="23"/>
            </w:rPr>
          </w:pPr>
          <w:r w:rsidRPr="00406EBF">
            <w:rPr>
              <w:rFonts w:cs="Verdana,Bold"/>
              <w:sz w:val="23"/>
              <w:szCs w:val="23"/>
            </w:rPr>
            <w:t xml:space="preserve">Le </w:t>
          </w:r>
          <w:r w:rsidRPr="00406EBF">
            <w:rPr>
              <w:rFonts w:cs="Verdana,Bold"/>
              <w:sz w:val="23"/>
              <w:szCs w:val="23"/>
              <w:u w:val="single"/>
            </w:rPr>
            <w:t>Premier ministre</w:t>
          </w:r>
          <w:r w:rsidRPr="00406EBF">
            <w:rPr>
              <w:rFonts w:cs="Verdana,Bold"/>
              <w:sz w:val="23"/>
              <w:szCs w:val="23"/>
            </w:rPr>
            <w:t xml:space="preserve"> est le chef du gouvernement, après en avoir été le « formateur » à l’issue des élections législatives. Il en dirige et en coordonne l’action et préside le Conseil des ministres. A ce titre, il dispose d’une autorité effective sur ses collègues. La démission du Premier ministre </w:t>
          </w:r>
          <w:r w:rsidR="00B14E58">
            <w:rPr>
              <w:rFonts w:cs="Verdana,Bold"/>
              <w:sz w:val="23"/>
              <w:szCs w:val="23"/>
            </w:rPr>
            <w:t xml:space="preserve">pour raison politique </w:t>
          </w:r>
          <w:r w:rsidRPr="00406EBF">
            <w:rPr>
              <w:rFonts w:cs="Verdana,Bold"/>
              <w:sz w:val="23"/>
              <w:szCs w:val="23"/>
            </w:rPr>
            <w:t xml:space="preserve">entraîne la chute du gouvernement. Celle-ci peut intervenir si le parlement adopte une motion de méfiance ou rejette une motion de confiance </w:t>
          </w:r>
          <w:r w:rsidR="002F0006">
            <w:rPr>
              <w:rFonts w:cs="Verdana,Bold"/>
              <w:sz w:val="23"/>
              <w:szCs w:val="23"/>
            </w:rPr>
            <w:t xml:space="preserve">à la majorité absolue </w:t>
          </w:r>
          <w:r w:rsidRPr="00406EBF">
            <w:rPr>
              <w:rFonts w:cs="Verdana,Bold"/>
              <w:sz w:val="23"/>
              <w:szCs w:val="23"/>
            </w:rPr>
            <w:t>et propose au Roi la nomination d’un successeur au Premier ministre.</w:t>
          </w:r>
        </w:p>
        <w:p w14:paraId="605E8B8A" w14:textId="77777777" w:rsidR="0072395A" w:rsidRPr="00406EBF" w:rsidRDefault="0072395A" w:rsidP="0072395A">
          <w:pPr>
            <w:spacing w:line="240" w:lineRule="auto"/>
            <w:jc w:val="both"/>
            <w:rPr>
              <w:rFonts w:cstheme="minorHAnsi"/>
              <w:sz w:val="23"/>
              <w:szCs w:val="23"/>
            </w:rPr>
          </w:pPr>
        </w:p>
        <w:p w14:paraId="261C0639" w14:textId="77777777" w:rsidR="0072395A" w:rsidRPr="00406EBF" w:rsidRDefault="0072395A" w:rsidP="0072395A">
          <w:pPr>
            <w:numPr>
              <w:ilvl w:val="0"/>
              <w:numId w:val="1"/>
            </w:numPr>
            <w:tabs>
              <w:tab w:val="left" w:pos="709"/>
            </w:tabs>
            <w:spacing w:line="240" w:lineRule="auto"/>
            <w:ind w:left="0" w:firstLine="0"/>
            <w:jc w:val="both"/>
            <w:rPr>
              <w:sz w:val="21"/>
              <w:szCs w:val="21"/>
            </w:rPr>
          </w:pPr>
          <w:r w:rsidRPr="00406EBF">
            <w:rPr>
              <w:rFonts w:cstheme="minorHAnsi"/>
              <w:sz w:val="23"/>
              <w:szCs w:val="23"/>
            </w:rPr>
            <w:lastRenderedPageBreak/>
            <w:t xml:space="preserve">Les </w:t>
          </w:r>
          <w:r w:rsidRPr="00406EBF">
            <w:rPr>
              <w:rFonts w:cstheme="minorHAnsi"/>
              <w:sz w:val="23"/>
              <w:szCs w:val="23"/>
              <w:u w:val="single"/>
            </w:rPr>
            <w:t>ministres</w:t>
          </w:r>
          <w:r w:rsidRPr="00406EBF">
            <w:rPr>
              <w:rFonts w:cstheme="minorHAnsi"/>
              <w:sz w:val="23"/>
              <w:szCs w:val="23"/>
            </w:rPr>
            <w:t xml:space="preserve"> sont formellement nommés par le Roi, mais concrètement ils sont désignés par les présidents des partis ayant une majorité parlementaire suffisante, qui ont signé un accord de gouvernement permettant d’obtenir la confiance du parlement.</w:t>
          </w:r>
          <w:r w:rsidR="00481422" w:rsidRPr="00406EBF">
            <w:rPr>
              <w:rFonts w:cstheme="minorHAnsi"/>
              <w:sz w:val="23"/>
              <w:szCs w:val="23"/>
            </w:rPr>
            <w:t xml:space="preserve"> Il n’y a pas de processus de « vetting » prélable à leur nomination. </w:t>
          </w:r>
          <w:r w:rsidRPr="00406EBF">
            <w:rPr>
              <w:rFonts w:cstheme="minorHAnsi"/>
              <w:sz w:val="23"/>
              <w:szCs w:val="23"/>
            </w:rPr>
            <w:t xml:space="preserve">Lors de son installation, le gouvernement </w:t>
          </w:r>
          <w:r w:rsidR="002F0006">
            <w:rPr>
              <w:rFonts w:cstheme="minorHAnsi"/>
              <w:sz w:val="23"/>
              <w:szCs w:val="23"/>
            </w:rPr>
            <w:t xml:space="preserve">dans son ensemble </w:t>
          </w:r>
          <w:r w:rsidRPr="00406EBF">
            <w:rPr>
              <w:rFonts w:cstheme="minorHAnsi"/>
              <w:sz w:val="23"/>
              <w:szCs w:val="23"/>
            </w:rPr>
            <w:t xml:space="preserve">doit demander et obtenir la confiance de la Chambre des représentants, les ministres étant responsables devant celle-ci. Les ministres qui sont issus du parlement cessent de siéger pendant la durée de leur mandat. </w:t>
          </w:r>
        </w:p>
        <w:p w14:paraId="1C27916D" w14:textId="77777777" w:rsidR="0072395A" w:rsidRPr="00406EBF" w:rsidRDefault="0072395A" w:rsidP="0072395A">
          <w:pPr>
            <w:rPr>
              <w:sz w:val="21"/>
              <w:szCs w:val="21"/>
              <w:highlight w:val="green"/>
            </w:rPr>
          </w:pPr>
        </w:p>
        <w:p w14:paraId="3502B879" w14:textId="77777777" w:rsidR="00481422" w:rsidRPr="00406EBF" w:rsidRDefault="00481422" w:rsidP="0048142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tableau ci-dessous reprend les montants indexés respectifs des traitements et indemnités en euros perçus par les membres du gouvernement fédéral</w:t>
          </w:r>
          <w:r w:rsidRPr="00406EBF">
            <w:rPr>
              <w:rStyle w:val="Appelnotedebasdep"/>
              <w:rFonts w:cstheme="minorHAnsi"/>
              <w:sz w:val="23"/>
              <w:szCs w:val="23"/>
            </w:rPr>
            <w:footnoteReference w:id="9"/>
          </w:r>
          <w:r w:rsidRPr="00406EBF">
            <w:rPr>
              <w:rFonts w:cstheme="minorHAnsi"/>
              <w:sz w:val="23"/>
              <w:szCs w:val="23"/>
            </w:rPr>
            <w:t>.</w:t>
          </w:r>
        </w:p>
        <w:p w14:paraId="446BC470" w14:textId="77777777" w:rsidR="00481422" w:rsidRPr="00406EBF" w:rsidRDefault="00481422" w:rsidP="00481422">
          <w:pPr>
            <w:spacing w:line="240" w:lineRule="auto"/>
            <w:jc w:val="both"/>
            <w:rPr>
              <w:rFonts w:cstheme="minorHAnsi"/>
              <w:sz w:val="23"/>
              <w:szCs w:val="23"/>
            </w:rPr>
          </w:pPr>
        </w:p>
        <w:tbl>
          <w:tblPr>
            <w:tblW w:w="9288" w:type="dxa"/>
            <w:tblInd w:w="5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410"/>
            <w:gridCol w:w="2234"/>
          </w:tblGrid>
          <w:tr w:rsidR="00481422" w:rsidRPr="00406EBF" w14:paraId="339707E8" w14:textId="77777777" w:rsidTr="00481422">
            <w:tc>
              <w:tcPr>
                <w:tcW w:w="2660" w:type="dxa"/>
                <w:tcBorders>
                  <w:top w:val="double" w:sz="4" w:space="0" w:color="auto"/>
                  <w:bottom w:val="double" w:sz="4" w:space="0" w:color="auto"/>
                </w:tcBorders>
                <w:vAlign w:val="center"/>
              </w:tcPr>
              <w:p w14:paraId="755BC54A" w14:textId="77777777" w:rsidR="00481422" w:rsidRPr="00406EBF" w:rsidRDefault="00481422" w:rsidP="00097EA7">
                <w:pPr>
                  <w:spacing w:line="288" w:lineRule="auto"/>
                  <w:jc w:val="center"/>
                  <w:rPr>
                    <w:rFonts w:ascii="Ebrima" w:hAnsi="Ebrima"/>
                    <w:sz w:val="19"/>
                    <w:szCs w:val="19"/>
                  </w:rPr>
                </w:pPr>
              </w:p>
            </w:tc>
            <w:tc>
              <w:tcPr>
                <w:tcW w:w="1984" w:type="dxa"/>
                <w:tcBorders>
                  <w:top w:val="double" w:sz="4" w:space="0" w:color="auto"/>
                  <w:bottom w:val="double" w:sz="4" w:space="0" w:color="auto"/>
                </w:tcBorders>
                <w:vAlign w:val="center"/>
              </w:tcPr>
              <w:p w14:paraId="5CACA875" w14:textId="65970B7B"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Traitement</w:t>
                </w:r>
                <w:r w:rsidR="00A712BB">
                  <w:rPr>
                    <w:rFonts w:ascii="Ebrima" w:hAnsi="Ebrima" w:cs="Tahoma"/>
                    <w:sz w:val="19"/>
                    <w:szCs w:val="19"/>
                  </w:rPr>
                  <w:t xml:space="preserve"> </w:t>
                </w:r>
                <w:r w:rsidR="00A712BB" w:rsidRPr="002F0006">
                  <w:rPr>
                    <w:rFonts w:ascii="Ebrima" w:hAnsi="Ebrima" w:cs="Tahoma"/>
                    <w:sz w:val="19"/>
                    <w:szCs w:val="19"/>
                  </w:rPr>
                  <w:t>brut</w:t>
                </w:r>
              </w:p>
            </w:tc>
            <w:tc>
              <w:tcPr>
                <w:tcW w:w="2410" w:type="dxa"/>
                <w:tcBorders>
                  <w:top w:val="double" w:sz="4" w:space="0" w:color="auto"/>
                  <w:bottom w:val="double" w:sz="4" w:space="0" w:color="auto"/>
                </w:tcBorders>
                <w:vAlign w:val="center"/>
              </w:tcPr>
              <w:p w14:paraId="66C78504"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 xml:space="preserve">Frais de </w:t>
                </w:r>
              </w:p>
              <w:p w14:paraId="0F46D59B"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représentation</w:t>
                </w:r>
              </w:p>
            </w:tc>
            <w:tc>
              <w:tcPr>
                <w:tcW w:w="2234" w:type="dxa"/>
                <w:tcBorders>
                  <w:top w:val="double" w:sz="4" w:space="0" w:color="auto"/>
                  <w:bottom w:val="double" w:sz="4" w:space="0" w:color="auto"/>
                </w:tcBorders>
                <w:vAlign w:val="center"/>
              </w:tcPr>
              <w:p w14:paraId="2B7D450C"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 xml:space="preserve">Frais de logement </w:t>
                </w:r>
              </w:p>
              <w:p w14:paraId="7FCE9780"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et domestiques</w:t>
                </w:r>
              </w:p>
            </w:tc>
          </w:tr>
          <w:tr w:rsidR="00481422" w:rsidRPr="00406EBF" w14:paraId="50EF0F2C" w14:textId="77777777" w:rsidTr="00481422">
            <w:tc>
              <w:tcPr>
                <w:tcW w:w="2660" w:type="dxa"/>
                <w:vAlign w:val="center"/>
              </w:tcPr>
              <w:p w14:paraId="4417133E" w14:textId="77777777" w:rsidR="00481422" w:rsidRPr="00406EBF" w:rsidRDefault="00481422" w:rsidP="00097EA7">
                <w:pPr>
                  <w:spacing w:line="288" w:lineRule="auto"/>
                  <w:rPr>
                    <w:rFonts w:ascii="Ebrima" w:hAnsi="Ebrima" w:cs="Tahoma"/>
                    <w:sz w:val="19"/>
                    <w:szCs w:val="19"/>
                  </w:rPr>
                </w:pPr>
                <w:r w:rsidRPr="00406EBF">
                  <w:rPr>
                    <w:rFonts w:ascii="Ebrima" w:hAnsi="Ebrima" w:cs="Tahoma"/>
                    <w:sz w:val="19"/>
                    <w:szCs w:val="19"/>
                  </w:rPr>
                  <w:t>Premier Ministre/</w:t>
                </w:r>
              </w:p>
              <w:p w14:paraId="444A01B2" w14:textId="77777777" w:rsidR="00481422" w:rsidRPr="00406EBF" w:rsidRDefault="00481422" w:rsidP="00097EA7">
                <w:pPr>
                  <w:spacing w:line="288" w:lineRule="auto"/>
                  <w:rPr>
                    <w:rFonts w:ascii="Ebrima" w:hAnsi="Ebrima" w:cs="Tahoma"/>
                    <w:sz w:val="19"/>
                    <w:szCs w:val="19"/>
                  </w:rPr>
                </w:pPr>
                <w:r w:rsidRPr="00406EBF">
                  <w:rPr>
                    <w:rFonts w:ascii="Ebrima" w:hAnsi="Ebrima" w:cs="Tahoma"/>
                    <w:sz w:val="19"/>
                    <w:szCs w:val="19"/>
                  </w:rPr>
                  <w:t xml:space="preserve">Vice-Premier Ministre/ Ministre  des </w:t>
                </w:r>
              </w:p>
              <w:p w14:paraId="662FF123" w14:textId="77777777" w:rsidR="00481422" w:rsidRPr="00406EBF" w:rsidRDefault="00481422" w:rsidP="00097EA7">
                <w:pPr>
                  <w:spacing w:line="288" w:lineRule="auto"/>
                  <w:rPr>
                    <w:rFonts w:ascii="Ebrima" w:hAnsi="Ebrima" w:cs="Tahoma"/>
                    <w:sz w:val="19"/>
                    <w:szCs w:val="19"/>
                  </w:rPr>
                </w:pPr>
                <w:r w:rsidRPr="00406EBF">
                  <w:rPr>
                    <w:rFonts w:ascii="Ebrima" w:hAnsi="Ebrima" w:cs="Tahoma"/>
                    <w:sz w:val="19"/>
                    <w:szCs w:val="19"/>
                  </w:rPr>
                  <w:t>Affaires étrangères</w:t>
                </w:r>
              </w:p>
            </w:tc>
            <w:tc>
              <w:tcPr>
                <w:tcW w:w="1984" w:type="dxa"/>
                <w:vAlign w:val="center"/>
              </w:tcPr>
              <w:p w14:paraId="5842C5FF"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222.427,50 EUR/an</w:t>
                </w:r>
              </w:p>
            </w:tc>
            <w:tc>
              <w:tcPr>
                <w:tcW w:w="2410" w:type="dxa"/>
                <w:vAlign w:val="center"/>
              </w:tcPr>
              <w:p w14:paraId="14B2B243"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686,17 EUR/mois</w:t>
                </w:r>
              </w:p>
            </w:tc>
            <w:tc>
              <w:tcPr>
                <w:tcW w:w="2234" w:type="dxa"/>
                <w:vAlign w:val="center"/>
              </w:tcPr>
              <w:p w14:paraId="266D7A06"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1.716,18 EUR/mois</w:t>
                </w:r>
              </w:p>
            </w:tc>
          </w:tr>
          <w:tr w:rsidR="00481422" w:rsidRPr="00406EBF" w14:paraId="0F69CB15" w14:textId="77777777" w:rsidTr="00481422">
            <w:trPr>
              <w:trHeight w:val="680"/>
            </w:trPr>
            <w:tc>
              <w:tcPr>
                <w:tcW w:w="2660" w:type="dxa"/>
                <w:vAlign w:val="center"/>
              </w:tcPr>
              <w:p w14:paraId="7E25E066" w14:textId="77777777" w:rsidR="00481422" w:rsidRPr="00406EBF" w:rsidRDefault="00481422" w:rsidP="00097EA7">
                <w:pPr>
                  <w:spacing w:line="288" w:lineRule="auto"/>
                  <w:rPr>
                    <w:rFonts w:ascii="Ebrima" w:hAnsi="Ebrima" w:cs="Tahoma"/>
                    <w:sz w:val="19"/>
                    <w:szCs w:val="19"/>
                  </w:rPr>
                </w:pPr>
                <w:r w:rsidRPr="00406EBF">
                  <w:rPr>
                    <w:rFonts w:ascii="Ebrima" w:hAnsi="Ebrima" w:cs="Tahoma"/>
                    <w:sz w:val="19"/>
                    <w:szCs w:val="19"/>
                  </w:rPr>
                  <w:t>Ministre</w:t>
                </w:r>
              </w:p>
            </w:tc>
            <w:tc>
              <w:tcPr>
                <w:tcW w:w="1984" w:type="dxa"/>
                <w:vAlign w:val="center"/>
              </w:tcPr>
              <w:p w14:paraId="0E1EABF5"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222.427,50 EUR/an</w:t>
                </w:r>
              </w:p>
            </w:tc>
            <w:tc>
              <w:tcPr>
                <w:tcW w:w="2410" w:type="dxa"/>
                <w:vAlign w:val="center"/>
              </w:tcPr>
              <w:p w14:paraId="49B79611"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343,08 EUR/mois</w:t>
                </w:r>
              </w:p>
            </w:tc>
            <w:tc>
              <w:tcPr>
                <w:tcW w:w="2234" w:type="dxa"/>
                <w:vAlign w:val="center"/>
              </w:tcPr>
              <w:p w14:paraId="2304EFA1"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1.716,18 EUR/mois</w:t>
                </w:r>
              </w:p>
            </w:tc>
          </w:tr>
          <w:tr w:rsidR="00481422" w:rsidRPr="00406EBF" w14:paraId="3C3AA452" w14:textId="77777777" w:rsidTr="00481422">
            <w:trPr>
              <w:trHeight w:val="680"/>
            </w:trPr>
            <w:tc>
              <w:tcPr>
                <w:tcW w:w="2660" w:type="dxa"/>
                <w:vAlign w:val="center"/>
              </w:tcPr>
              <w:p w14:paraId="68A0A511" w14:textId="77777777" w:rsidR="00481422" w:rsidRPr="00406EBF" w:rsidRDefault="00481422" w:rsidP="00097EA7">
                <w:pPr>
                  <w:spacing w:line="288" w:lineRule="auto"/>
                  <w:rPr>
                    <w:rFonts w:ascii="Ebrima" w:hAnsi="Ebrima" w:cs="Tahoma"/>
                    <w:sz w:val="19"/>
                    <w:szCs w:val="19"/>
                  </w:rPr>
                </w:pPr>
                <w:r w:rsidRPr="00406EBF">
                  <w:rPr>
                    <w:rFonts w:ascii="Ebrima" w:hAnsi="Ebrima" w:cs="Tahoma"/>
                    <w:sz w:val="19"/>
                    <w:szCs w:val="19"/>
                  </w:rPr>
                  <w:t>Secrétaire d’Etat</w:t>
                </w:r>
              </w:p>
            </w:tc>
            <w:tc>
              <w:tcPr>
                <w:tcW w:w="1984" w:type="dxa"/>
                <w:vAlign w:val="center"/>
              </w:tcPr>
              <w:p w14:paraId="75E95F1B"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211.146,20 EUR/an</w:t>
                </w:r>
              </w:p>
            </w:tc>
            <w:tc>
              <w:tcPr>
                <w:tcW w:w="2410" w:type="dxa"/>
                <w:vAlign w:val="center"/>
              </w:tcPr>
              <w:p w14:paraId="14F27829"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343,08 EUR/mois</w:t>
                </w:r>
              </w:p>
            </w:tc>
            <w:tc>
              <w:tcPr>
                <w:tcW w:w="2234" w:type="dxa"/>
                <w:vAlign w:val="center"/>
              </w:tcPr>
              <w:p w14:paraId="34F87F5B" w14:textId="77777777" w:rsidR="00481422" w:rsidRPr="00406EBF" w:rsidRDefault="00481422" w:rsidP="00097EA7">
                <w:pPr>
                  <w:spacing w:line="288" w:lineRule="auto"/>
                  <w:jc w:val="center"/>
                  <w:rPr>
                    <w:rFonts w:ascii="Ebrima" w:hAnsi="Ebrima" w:cs="Tahoma"/>
                    <w:sz w:val="19"/>
                    <w:szCs w:val="19"/>
                  </w:rPr>
                </w:pPr>
                <w:r w:rsidRPr="00406EBF">
                  <w:rPr>
                    <w:rFonts w:ascii="Ebrima" w:hAnsi="Ebrima" w:cs="Tahoma"/>
                    <w:sz w:val="19"/>
                    <w:szCs w:val="19"/>
                  </w:rPr>
                  <w:t>1.716,18  EUR/mois</w:t>
                </w:r>
              </w:p>
            </w:tc>
          </w:tr>
        </w:tbl>
        <w:p w14:paraId="30BEA499" w14:textId="77777777" w:rsidR="0072395A" w:rsidRPr="00406EBF" w:rsidRDefault="0072395A" w:rsidP="0072395A">
          <w:pPr>
            <w:rPr>
              <w:sz w:val="21"/>
              <w:szCs w:val="21"/>
              <w:highlight w:val="green"/>
            </w:rPr>
          </w:pPr>
        </w:p>
        <w:p w14:paraId="1CBD4E03" w14:textId="6C8FBD70" w:rsidR="001D0D12" w:rsidRPr="00406EBF" w:rsidRDefault="007C27EF" w:rsidP="001D0D12">
          <w:pPr>
            <w:numPr>
              <w:ilvl w:val="0"/>
              <w:numId w:val="1"/>
            </w:numPr>
            <w:tabs>
              <w:tab w:val="left" w:pos="709"/>
            </w:tabs>
            <w:spacing w:line="240" w:lineRule="auto"/>
            <w:ind w:left="0" w:firstLine="0"/>
            <w:jc w:val="both"/>
            <w:rPr>
              <w:sz w:val="23"/>
              <w:szCs w:val="23"/>
            </w:rPr>
          </w:pPr>
          <w:r w:rsidRPr="00406EBF">
            <w:rPr>
              <w:rFonts w:cstheme="minorHAnsi"/>
              <w:sz w:val="23"/>
              <w:szCs w:val="23"/>
            </w:rPr>
            <w:t>Les ministres et secrétaires d’Etat</w:t>
          </w:r>
          <w:r w:rsidR="000538D3" w:rsidRPr="00406EBF">
            <w:rPr>
              <w:rFonts w:cstheme="minorHAnsi"/>
              <w:sz w:val="23"/>
              <w:szCs w:val="23"/>
            </w:rPr>
            <w:t xml:space="preserve"> sont assistés par un </w:t>
          </w:r>
          <w:r w:rsidR="000538D3" w:rsidRPr="00406EBF">
            <w:rPr>
              <w:rFonts w:cstheme="minorHAnsi"/>
              <w:sz w:val="23"/>
              <w:szCs w:val="23"/>
              <w:u w:val="single"/>
            </w:rPr>
            <w:t>secrétariat</w:t>
          </w:r>
          <w:r w:rsidR="000538D3" w:rsidRPr="00406EBF">
            <w:rPr>
              <w:rFonts w:cstheme="minorHAnsi"/>
              <w:sz w:val="23"/>
              <w:szCs w:val="23"/>
            </w:rPr>
            <w:t xml:space="preserve"> et par des </w:t>
          </w:r>
          <w:r w:rsidR="000538D3" w:rsidRPr="00406EBF">
            <w:rPr>
              <w:rFonts w:cstheme="minorHAnsi"/>
              <w:sz w:val="23"/>
              <w:szCs w:val="23"/>
              <w:u w:val="single"/>
            </w:rPr>
            <w:t>organes dits « stratégiques »</w:t>
          </w:r>
          <w:r w:rsidR="000538D3" w:rsidRPr="00406EBF">
            <w:rPr>
              <w:rFonts w:cstheme="minorHAnsi"/>
              <w:sz w:val="23"/>
              <w:szCs w:val="23"/>
            </w:rPr>
            <w:t xml:space="preserve"> - la dénomination des cabinets depuis la réforme COPERNIC de 2000. Le secrétariat comprend des porte-paroles, des collaborateurs de staff, le ou la secrétaire personnel(le) du ministre et des collaborateurs d’exécution.  </w:t>
          </w:r>
          <w:r w:rsidR="004030F7" w:rsidRPr="00406EBF">
            <w:rPr>
              <w:rFonts w:cstheme="minorHAnsi"/>
              <w:sz w:val="23"/>
              <w:szCs w:val="23"/>
            </w:rPr>
            <w:t xml:space="preserve">Les organes stratégiques se composent de différentes cellules, en fonction de la position du ministre ou secrétaire d’Etat dans le gouvernement : </w:t>
          </w:r>
          <w:r w:rsidR="001D0D12" w:rsidRPr="00406EBF">
            <w:rPr>
              <w:rFonts w:cstheme="minorHAnsi"/>
              <w:sz w:val="23"/>
              <w:szCs w:val="23"/>
            </w:rPr>
            <w:t>chaque ministre ou secrétaire d’Etat a une cellule stratégique, qui se compose de conseillers</w:t>
          </w:r>
          <w:r w:rsidR="004030F7" w:rsidRPr="00406EBF">
            <w:rPr>
              <w:rFonts w:cstheme="minorHAnsi"/>
              <w:sz w:val="23"/>
              <w:szCs w:val="23"/>
            </w:rPr>
            <w:t xml:space="preserve">. </w:t>
          </w:r>
          <w:r w:rsidR="001D0D12" w:rsidRPr="00406EBF">
            <w:rPr>
              <w:rFonts w:cstheme="minorHAnsi"/>
              <w:sz w:val="23"/>
              <w:szCs w:val="23"/>
            </w:rPr>
            <w:t xml:space="preserve">Les vice-premier ministres sont assistés par une cellule de politique générale et le premier ministre par une cellule de coordination </w:t>
          </w:r>
          <w:r w:rsidR="00CC3E23">
            <w:rPr>
              <w:rFonts w:cstheme="minorHAnsi"/>
              <w:sz w:val="23"/>
              <w:szCs w:val="23"/>
            </w:rPr>
            <w:t xml:space="preserve">générale </w:t>
          </w:r>
          <w:r w:rsidR="001D0D12" w:rsidRPr="00406EBF">
            <w:rPr>
              <w:rFonts w:cstheme="minorHAnsi"/>
              <w:sz w:val="23"/>
              <w:szCs w:val="23"/>
            </w:rPr>
            <w:t xml:space="preserve">de la politique, chargées de la coordination, de la préparation et de l’évaluation de la politique gouvernementale. </w:t>
          </w:r>
          <w:r w:rsidR="00E16D16" w:rsidRPr="00406EBF">
            <w:rPr>
              <w:rFonts w:cstheme="minorHAnsi"/>
              <w:sz w:val="23"/>
              <w:szCs w:val="23"/>
            </w:rPr>
            <w:t>Ces organes stratégiques sont de nature politique</w:t>
          </w:r>
          <w:r w:rsidR="001D0D12" w:rsidRPr="00406EBF">
            <w:rPr>
              <w:rFonts w:cstheme="minorHAnsi"/>
              <w:sz w:val="23"/>
              <w:szCs w:val="23"/>
            </w:rPr>
            <w:t>.</w:t>
          </w:r>
          <w:r w:rsidR="005D2DFE" w:rsidRPr="00406EBF">
            <w:rPr>
              <w:sz w:val="23"/>
              <w:szCs w:val="23"/>
            </w:rPr>
            <w:t xml:space="preserve"> </w:t>
          </w:r>
        </w:p>
        <w:p w14:paraId="2566870F" w14:textId="77777777" w:rsidR="004B1512" w:rsidRPr="00406EBF" w:rsidRDefault="004B1512" w:rsidP="004B1512">
          <w:pPr>
            <w:tabs>
              <w:tab w:val="left" w:pos="709"/>
            </w:tabs>
            <w:spacing w:line="240" w:lineRule="auto"/>
            <w:jc w:val="both"/>
            <w:rPr>
              <w:sz w:val="23"/>
              <w:szCs w:val="23"/>
            </w:rPr>
          </w:pPr>
        </w:p>
        <w:p w14:paraId="6958063D" w14:textId="1911C4A4" w:rsidR="00C21A07" w:rsidRPr="00406EBF" w:rsidRDefault="00C21A07" w:rsidP="00C21A07">
          <w:pPr>
            <w:numPr>
              <w:ilvl w:val="0"/>
              <w:numId w:val="1"/>
            </w:numPr>
            <w:tabs>
              <w:tab w:val="left" w:pos="709"/>
            </w:tabs>
            <w:spacing w:line="240" w:lineRule="auto"/>
            <w:ind w:left="0" w:firstLine="0"/>
            <w:jc w:val="both"/>
            <w:rPr>
              <w:sz w:val="23"/>
              <w:szCs w:val="23"/>
            </w:rPr>
          </w:pPr>
          <w:r w:rsidRPr="00406EBF">
            <w:rPr>
              <w:sz w:val="23"/>
              <w:szCs w:val="23"/>
            </w:rPr>
            <w:t>Les membres de ces cellules stratégiques</w:t>
          </w:r>
          <w:r w:rsidR="00B26E89" w:rsidRPr="00406EBF">
            <w:rPr>
              <w:sz w:val="23"/>
              <w:szCs w:val="23"/>
            </w:rPr>
            <w:t>/cabinets</w:t>
          </w:r>
          <w:r w:rsidRPr="00406EBF">
            <w:rPr>
              <w:sz w:val="23"/>
              <w:szCs w:val="23"/>
            </w:rPr>
            <w:t xml:space="preserve"> sont soit des fonctionnaires détachés de l’administration, </w:t>
          </w:r>
          <w:r w:rsidR="00C44BE8">
            <w:rPr>
              <w:sz w:val="23"/>
              <w:szCs w:val="23"/>
            </w:rPr>
            <w:t>s</w:t>
          </w:r>
          <w:r w:rsidRPr="00406EBF">
            <w:rPr>
              <w:sz w:val="23"/>
              <w:szCs w:val="23"/>
            </w:rPr>
            <w:t>oit</w:t>
          </w:r>
          <w:r w:rsidR="00A712BB">
            <w:rPr>
              <w:sz w:val="23"/>
              <w:szCs w:val="23"/>
            </w:rPr>
            <w:t xml:space="preserve"> des personnes</w:t>
          </w:r>
          <w:r w:rsidRPr="00406EBF">
            <w:rPr>
              <w:sz w:val="23"/>
              <w:szCs w:val="23"/>
            </w:rPr>
            <w:t xml:space="preserve"> </w:t>
          </w:r>
          <w:r w:rsidR="002F0006">
            <w:rPr>
              <w:sz w:val="23"/>
              <w:szCs w:val="23"/>
            </w:rPr>
            <w:t>relevant</w:t>
          </w:r>
          <w:r w:rsidRPr="00406EBF">
            <w:rPr>
              <w:sz w:val="23"/>
              <w:szCs w:val="23"/>
            </w:rPr>
            <w:t xml:space="preserve"> du secteur privé. Dans l’esprit de la réforme COPERNIC, les </w:t>
          </w:r>
          <w:r w:rsidR="00A712BB">
            <w:rPr>
              <w:sz w:val="23"/>
              <w:szCs w:val="23"/>
            </w:rPr>
            <w:t>organes</w:t>
          </w:r>
          <w:r w:rsidRPr="00406EBF">
            <w:rPr>
              <w:sz w:val="23"/>
              <w:szCs w:val="23"/>
            </w:rPr>
            <w:t xml:space="preserve"> stratégiques devaient faire partie de l’administration et la sélection de leurs membres devait se faire par SELOR, le service de recrutement de l’administration fédérale. Cette idée initiale a été remplacée deux ans plus tard par une désignation des membres des </w:t>
          </w:r>
          <w:r w:rsidR="00A712BB">
            <w:rPr>
              <w:sz w:val="23"/>
              <w:szCs w:val="23"/>
            </w:rPr>
            <w:t>organes</w:t>
          </w:r>
          <w:r w:rsidRPr="00406EBF">
            <w:rPr>
              <w:sz w:val="23"/>
              <w:szCs w:val="23"/>
            </w:rPr>
            <w:t xml:space="preserve"> stratégiques par le ministre ou le secrétaire d’Etat.</w:t>
          </w:r>
        </w:p>
        <w:p w14:paraId="70F45069" w14:textId="77777777" w:rsidR="00C21A07" w:rsidRPr="00406EBF" w:rsidRDefault="00C21A07" w:rsidP="00C21A07">
          <w:pPr>
            <w:pStyle w:val="Paragraphedeliste"/>
            <w:rPr>
              <w:sz w:val="23"/>
              <w:szCs w:val="23"/>
            </w:rPr>
          </w:pPr>
        </w:p>
        <w:p w14:paraId="67BDCED1" w14:textId="77777777" w:rsidR="00C21A07" w:rsidRPr="00406EBF" w:rsidRDefault="00C21A07" w:rsidP="00097EA7">
          <w:pPr>
            <w:numPr>
              <w:ilvl w:val="0"/>
              <w:numId w:val="1"/>
            </w:numPr>
            <w:tabs>
              <w:tab w:val="left" w:pos="709"/>
            </w:tabs>
            <w:spacing w:line="240" w:lineRule="auto"/>
            <w:ind w:left="0" w:firstLine="0"/>
            <w:jc w:val="both"/>
            <w:rPr>
              <w:sz w:val="23"/>
              <w:szCs w:val="23"/>
            </w:rPr>
          </w:pPr>
          <w:r w:rsidRPr="00406EBF">
            <w:rPr>
              <w:sz w:val="23"/>
              <w:szCs w:val="23"/>
            </w:rPr>
            <w:t xml:space="preserve">Les interlocuteurs de l’EEG ont confirmé que le choix des membres des cellules stratégiques se faisait à la discrétion de chaque ministre ou secrétaire d’Etat, le cas échéant en consultation avec le parti politique qu’il représente. Les fonctions des membres des cellules stratégiques sont donc liées à celles du ministre ou secrétaire d’Etat qui les a recrutés et qui décide de leur rémunération, dans la limite d’une enveloppe globale attribuée par le budget à chaque ministre </w:t>
          </w:r>
          <w:r w:rsidRPr="00406EBF">
            <w:rPr>
              <w:sz w:val="23"/>
              <w:szCs w:val="23"/>
            </w:rPr>
            <w:lastRenderedPageBreak/>
            <w:t xml:space="preserve">ou secrétaire d’Etat – et non au ministère concerné. </w:t>
          </w:r>
          <w:r w:rsidR="00B26E89" w:rsidRPr="00406EBF">
            <w:rPr>
              <w:sz w:val="23"/>
              <w:szCs w:val="23"/>
            </w:rPr>
            <w:t>C</w:t>
          </w:r>
          <w:r w:rsidRPr="00406EBF">
            <w:rPr>
              <w:sz w:val="23"/>
              <w:szCs w:val="23"/>
            </w:rPr>
            <w:t xml:space="preserve">es fonctions prennent fin </w:t>
          </w:r>
          <w:r w:rsidR="00FD7E93" w:rsidRPr="00406EBF">
            <w:rPr>
              <w:sz w:val="23"/>
              <w:szCs w:val="23"/>
            </w:rPr>
            <w:t xml:space="preserve">par décision du ministre ou secrétaire d’Etat concerné et au plus tard </w:t>
          </w:r>
          <w:r w:rsidR="00B20018" w:rsidRPr="00406EBF">
            <w:rPr>
              <w:sz w:val="23"/>
              <w:szCs w:val="23"/>
            </w:rPr>
            <w:t>en cas de démission de celui-ci</w:t>
          </w:r>
          <w:r w:rsidRPr="00406EBF">
            <w:rPr>
              <w:sz w:val="23"/>
              <w:szCs w:val="23"/>
            </w:rPr>
            <w:t xml:space="preserve">. </w:t>
          </w:r>
          <w:r w:rsidR="00FD7E93" w:rsidRPr="00406EBF">
            <w:rPr>
              <w:sz w:val="23"/>
              <w:szCs w:val="23"/>
            </w:rPr>
            <w:t xml:space="preserve">Le rôle des </w:t>
          </w:r>
          <w:r w:rsidR="00A712BB">
            <w:rPr>
              <w:sz w:val="23"/>
              <w:szCs w:val="23"/>
            </w:rPr>
            <w:t>organes</w:t>
          </w:r>
          <w:r w:rsidR="00775DCF" w:rsidRPr="00406EBF">
            <w:rPr>
              <w:sz w:val="23"/>
              <w:szCs w:val="23"/>
            </w:rPr>
            <w:t xml:space="preserve"> stratégiques est de préparer, de suivre et d’évaluer la politique du ministre ou secrétaire d’Etat. </w:t>
          </w:r>
          <w:r w:rsidR="00A712BB">
            <w:rPr>
              <w:sz w:val="23"/>
              <w:szCs w:val="23"/>
            </w:rPr>
            <w:t>Ils</w:t>
          </w:r>
          <w:r w:rsidR="00775DCF" w:rsidRPr="00406EBF">
            <w:rPr>
              <w:sz w:val="23"/>
              <w:szCs w:val="23"/>
            </w:rPr>
            <w:t xml:space="preserve"> font également le lien entre le ministre et son administration, voire son parti politique. </w:t>
          </w:r>
        </w:p>
        <w:p w14:paraId="77B41FBC" w14:textId="77777777" w:rsidR="00775DCF" w:rsidRPr="00406EBF" w:rsidRDefault="00775DCF" w:rsidP="00775DCF">
          <w:pPr>
            <w:pStyle w:val="Paragraphedeliste"/>
            <w:rPr>
              <w:sz w:val="23"/>
              <w:szCs w:val="23"/>
            </w:rPr>
          </w:pPr>
        </w:p>
        <w:p w14:paraId="54325A25" w14:textId="0C347272" w:rsidR="004B1512" w:rsidRPr="00406EBF" w:rsidRDefault="00775DCF" w:rsidP="00097EA7">
          <w:pPr>
            <w:numPr>
              <w:ilvl w:val="0"/>
              <w:numId w:val="1"/>
            </w:numPr>
            <w:tabs>
              <w:tab w:val="left" w:pos="709"/>
            </w:tabs>
            <w:spacing w:line="240" w:lineRule="auto"/>
            <w:ind w:left="0" w:firstLine="0"/>
            <w:jc w:val="both"/>
            <w:rPr>
              <w:sz w:val="23"/>
              <w:szCs w:val="23"/>
            </w:rPr>
          </w:pPr>
          <w:r w:rsidRPr="00406EBF">
            <w:rPr>
              <w:sz w:val="23"/>
              <w:szCs w:val="23"/>
            </w:rPr>
            <w:t>Compte tenu des éléments exposés ci-dessus, l</w:t>
          </w:r>
          <w:r w:rsidR="004B1512" w:rsidRPr="00406EBF">
            <w:rPr>
              <w:sz w:val="23"/>
              <w:szCs w:val="23"/>
            </w:rPr>
            <w:t xml:space="preserve">’EEG estime que les membres influents des </w:t>
          </w:r>
          <w:r w:rsidR="00A712BB">
            <w:rPr>
              <w:sz w:val="23"/>
              <w:szCs w:val="23"/>
            </w:rPr>
            <w:t>organes</w:t>
          </w:r>
          <w:r w:rsidR="004B1512" w:rsidRPr="00406EBF">
            <w:rPr>
              <w:sz w:val="23"/>
              <w:szCs w:val="23"/>
            </w:rPr>
            <w:t xml:space="preserve"> stratégiques</w:t>
          </w:r>
          <w:r w:rsidR="00B26E89" w:rsidRPr="00406EBF">
            <w:rPr>
              <w:sz w:val="23"/>
              <w:szCs w:val="23"/>
            </w:rPr>
            <w:t>/cabinets</w:t>
          </w:r>
          <w:r w:rsidR="004B1512" w:rsidRPr="00406EBF">
            <w:rPr>
              <w:sz w:val="23"/>
              <w:szCs w:val="23"/>
            </w:rPr>
            <w:t xml:space="preserve"> – ainsi que les porte-paroles, bien qu’ils relèvent formellement du secrétariat du ministre – doivent être considérés comme des PHFE au sens de </w:t>
          </w:r>
          <w:r w:rsidR="00AE3259" w:rsidRPr="00406EBF">
            <w:rPr>
              <w:sz w:val="23"/>
              <w:szCs w:val="23"/>
            </w:rPr>
            <w:t>ce rapport</w:t>
          </w:r>
          <w:r w:rsidR="004B1512" w:rsidRPr="00406EBF">
            <w:rPr>
              <w:sz w:val="23"/>
              <w:szCs w:val="23"/>
            </w:rPr>
            <w:t>.</w:t>
          </w:r>
          <w:r w:rsidRPr="00406EBF">
            <w:rPr>
              <w:sz w:val="23"/>
              <w:szCs w:val="23"/>
            </w:rPr>
            <w:t xml:space="preserve"> Cette position a également été prise récemment par le législateur belge, qui a décidé d’étendre à compter de 2019 aux </w:t>
          </w:r>
          <w:r w:rsidR="00EB5771" w:rsidRPr="00406EBF">
            <w:rPr>
              <w:sz w:val="23"/>
              <w:szCs w:val="23"/>
            </w:rPr>
            <w:t>« </w:t>
          </w:r>
          <w:r w:rsidR="00EB5771" w:rsidRPr="00406EBF">
            <w:rPr>
              <w:rFonts w:cstheme="minorHAnsi"/>
              <w:sz w:val="23"/>
              <w:szCs w:val="23"/>
            </w:rPr>
            <w:t xml:space="preserve">collaborateurs du gouvernement fédéral chargés de rendre des avis sur la politique, la stratégie politique et la communication » - aussi </w:t>
          </w:r>
          <w:r w:rsidR="00A712BB" w:rsidRPr="00406EBF">
            <w:rPr>
              <w:rFonts w:cstheme="minorHAnsi"/>
              <w:sz w:val="23"/>
              <w:szCs w:val="23"/>
            </w:rPr>
            <w:t xml:space="preserve">appelés </w:t>
          </w:r>
          <w:r w:rsidR="00A712BB" w:rsidRPr="00406EBF">
            <w:rPr>
              <w:sz w:val="23"/>
              <w:szCs w:val="23"/>
            </w:rPr>
            <w:t>«</w:t>
          </w:r>
          <w:r w:rsidRPr="00406EBF">
            <w:rPr>
              <w:sz w:val="23"/>
              <w:szCs w:val="23"/>
            </w:rPr>
            <w:t xml:space="preserve"> collaborateurs </w:t>
          </w:r>
          <w:r w:rsidR="002F0006">
            <w:rPr>
              <w:sz w:val="23"/>
              <w:szCs w:val="23"/>
            </w:rPr>
            <w:t>de fond</w:t>
          </w:r>
          <w:r w:rsidR="002F0006" w:rsidRPr="00406EBF">
            <w:rPr>
              <w:sz w:val="23"/>
              <w:szCs w:val="23"/>
            </w:rPr>
            <w:t> </w:t>
          </w:r>
          <w:r w:rsidRPr="00406EBF">
            <w:rPr>
              <w:sz w:val="23"/>
              <w:szCs w:val="23"/>
            </w:rPr>
            <w:t xml:space="preserve">» </w:t>
          </w:r>
          <w:r w:rsidR="00EB5771" w:rsidRPr="00406EBF">
            <w:rPr>
              <w:sz w:val="23"/>
              <w:szCs w:val="23"/>
            </w:rPr>
            <w:t xml:space="preserve">- </w:t>
          </w:r>
          <w:r w:rsidRPr="00406EBF">
            <w:rPr>
              <w:sz w:val="23"/>
              <w:szCs w:val="23"/>
            </w:rPr>
            <w:t>des membres du gouvernement au sein des organes stratégiques les obligations de déclaration de mandats incombant aux ministres, parlementaires et autres responsables politiques (voir ci-dessous).</w:t>
          </w:r>
          <w:r w:rsidR="004B1512" w:rsidRPr="00406EBF">
            <w:rPr>
              <w:sz w:val="23"/>
              <w:szCs w:val="23"/>
            </w:rPr>
            <w:t xml:space="preserve"> </w:t>
          </w:r>
          <w:r w:rsidRPr="00406EBF">
            <w:rPr>
              <w:sz w:val="23"/>
              <w:szCs w:val="23"/>
            </w:rPr>
            <w:t xml:space="preserve">Cette notion de « collaborateur </w:t>
          </w:r>
          <w:r w:rsidR="002F0006">
            <w:rPr>
              <w:sz w:val="23"/>
              <w:szCs w:val="23"/>
            </w:rPr>
            <w:t>de fond</w:t>
          </w:r>
          <w:r w:rsidR="002F0006" w:rsidRPr="00406EBF">
            <w:rPr>
              <w:sz w:val="23"/>
              <w:szCs w:val="23"/>
            </w:rPr>
            <w:t> </w:t>
          </w:r>
          <w:r w:rsidRPr="00406EBF">
            <w:rPr>
              <w:sz w:val="23"/>
              <w:szCs w:val="23"/>
            </w:rPr>
            <w:t xml:space="preserve">» constitue du reste </w:t>
          </w:r>
          <w:r w:rsidR="00AE3259" w:rsidRPr="00406EBF">
            <w:rPr>
              <w:sz w:val="23"/>
              <w:szCs w:val="23"/>
            </w:rPr>
            <w:t xml:space="preserve">un critère commode permettant de distinguer les membres influents des cellules et secrétariats des employés aux attributions subalternes. </w:t>
          </w:r>
        </w:p>
        <w:p w14:paraId="2AB9182E" w14:textId="77777777" w:rsidR="004B1512" w:rsidRPr="00406EBF" w:rsidRDefault="004B1512" w:rsidP="004B1512">
          <w:pPr>
            <w:tabs>
              <w:tab w:val="left" w:pos="709"/>
            </w:tabs>
            <w:spacing w:line="240" w:lineRule="auto"/>
            <w:jc w:val="both"/>
            <w:rPr>
              <w:sz w:val="23"/>
              <w:szCs w:val="23"/>
            </w:rPr>
          </w:pPr>
        </w:p>
        <w:p w14:paraId="19E17547" w14:textId="4FDEF5B2" w:rsidR="00440074" w:rsidRPr="00406EBF" w:rsidRDefault="00440074" w:rsidP="001D0D12">
          <w:pPr>
            <w:numPr>
              <w:ilvl w:val="0"/>
              <w:numId w:val="1"/>
            </w:numPr>
            <w:tabs>
              <w:tab w:val="left" w:pos="709"/>
            </w:tabs>
            <w:spacing w:line="240" w:lineRule="auto"/>
            <w:ind w:left="0" w:firstLine="0"/>
            <w:jc w:val="both"/>
            <w:rPr>
              <w:sz w:val="23"/>
              <w:szCs w:val="23"/>
            </w:rPr>
          </w:pPr>
          <w:r w:rsidRPr="00406EBF">
            <w:rPr>
              <w:sz w:val="23"/>
              <w:szCs w:val="23"/>
            </w:rPr>
            <w:t>L</w:t>
          </w:r>
          <w:r w:rsidR="00C062CB" w:rsidRPr="00406EBF">
            <w:rPr>
              <w:sz w:val="23"/>
              <w:szCs w:val="23"/>
            </w:rPr>
            <w:t>’EEG note un manque d’encadrement dans l’emploi d</w:t>
          </w:r>
          <w:r w:rsidRPr="00406EBF">
            <w:rPr>
              <w:sz w:val="23"/>
              <w:szCs w:val="23"/>
            </w:rPr>
            <w:t>es membres</w:t>
          </w:r>
          <w:r w:rsidR="00C062CB" w:rsidRPr="00406EBF">
            <w:rPr>
              <w:sz w:val="23"/>
              <w:szCs w:val="23"/>
            </w:rPr>
            <w:t xml:space="preserve"> des cellules stra</w:t>
          </w:r>
          <w:r w:rsidRPr="00406EBF">
            <w:rPr>
              <w:sz w:val="23"/>
              <w:szCs w:val="23"/>
            </w:rPr>
            <w:t>tégiques</w:t>
          </w:r>
          <w:r w:rsidR="00B26E89" w:rsidRPr="00406EBF">
            <w:rPr>
              <w:sz w:val="23"/>
              <w:szCs w:val="23"/>
            </w:rPr>
            <w:t>/cabinets</w:t>
          </w:r>
          <w:r w:rsidR="00C062CB" w:rsidRPr="00406EBF">
            <w:rPr>
              <w:sz w:val="23"/>
              <w:szCs w:val="23"/>
            </w:rPr>
            <w:t>. Comme expliqué ci-dessus, le choix de ces personnes est à l’entière discrétion du ministre, secrétaire d’Etat et/ou du parti politique concerné. Certaines d’entre elles travaillent à temps partiel, voire très partiel – jusqu’à 10%, selon certaines sources de l’EEG – sans aucune limite sur leurs autres activités. Il n’y a aucune procédure de vérification de leur intégrité</w:t>
          </w:r>
          <w:r w:rsidR="007B2AF4" w:rsidRPr="00406EBF">
            <w:rPr>
              <w:sz w:val="23"/>
              <w:szCs w:val="23"/>
            </w:rPr>
            <w:t xml:space="preserve"> et aucune disposition visant à éviter de possibles conflits d’intérêts nés de leurs autres activités</w:t>
          </w:r>
          <w:r w:rsidR="002F0006">
            <w:rPr>
              <w:sz w:val="23"/>
              <w:szCs w:val="23"/>
            </w:rPr>
            <w:t xml:space="preserve"> – sauf pour les chefs de cabinets, chefs de cabinet adjoints et chefs des organes de gestion des </w:t>
          </w:r>
          <w:r w:rsidR="00A12A0C">
            <w:rPr>
              <w:sz w:val="23"/>
              <w:szCs w:val="23"/>
            </w:rPr>
            <w:t xml:space="preserve">membres du gouvernement fédéral </w:t>
          </w:r>
          <w:r w:rsidR="00A05BEB">
            <w:rPr>
              <w:sz w:val="23"/>
              <w:szCs w:val="23"/>
            </w:rPr>
            <w:t xml:space="preserve">(ci-après les directeurs) </w:t>
          </w:r>
          <w:r w:rsidR="002F0006">
            <w:rPr>
              <w:sz w:val="23"/>
              <w:szCs w:val="23"/>
            </w:rPr>
            <w:t>qui sont soumis au code de déontologie des mandataires publics</w:t>
          </w:r>
          <w:r w:rsidR="007B2AF4" w:rsidRPr="00406EBF">
            <w:rPr>
              <w:sz w:val="23"/>
              <w:szCs w:val="23"/>
            </w:rPr>
            <w:t xml:space="preserve">. Ce manque d’encadrement s’étend aussi à la définition des tâches de ces collaborateurs. Une </w:t>
          </w:r>
          <w:r w:rsidR="00766379" w:rsidRPr="00406EBF">
            <w:rPr>
              <w:sz w:val="23"/>
              <w:szCs w:val="23"/>
            </w:rPr>
            <w:t xml:space="preserve">ancienne </w:t>
          </w:r>
          <w:r w:rsidR="007B2AF4" w:rsidRPr="00406EBF">
            <w:rPr>
              <w:sz w:val="23"/>
              <w:szCs w:val="23"/>
            </w:rPr>
            <w:t xml:space="preserve">ministre a ainsi été incriminée pour avoir engagé au sein de son organe stratégique des collaborateurs pour qu’ils travaillent sur sa campagne électorale, alors qu’ils étaient payés par des deniers publics et que les partis politiques sont financés par l’Etat. </w:t>
          </w:r>
          <w:r w:rsidR="00766379" w:rsidRPr="00406EBF">
            <w:rPr>
              <w:sz w:val="23"/>
              <w:szCs w:val="23"/>
            </w:rPr>
            <w:t>Selon les informations recueillies par l’EEG, des réunions de partis politiques auraient parfois lieu dans les locaux des organes stratégiques. Un tel mélange des genres est bien évidemment à proscrire.</w:t>
          </w:r>
        </w:p>
        <w:p w14:paraId="795CF317" w14:textId="77777777" w:rsidR="007B2AF4" w:rsidRPr="00406EBF" w:rsidRDefault="007B2AF4" w:rsidP="007B2AF4">
          <w:pPr>
            <w:pStyle w:val="Paragraphedeliste"/>
            <w:rPr>
              <w:sz w:val="23"/>
              <w:szCs w:val="23"/>
            </w:rPr>
          </w:pPr>
        </w:p>
        <w:p w14:paraId="7DE6B270" w14:textId="45FE9136" w:rsidR="007B2AF4" w:rsidRPr="00406EBF" w:rsidRDefault="00766379" w:rsidP="001D0D12">
          <w:pPr>
            <w:numPr>
              <w:ilvl w:val="0"/>
              <w:numId w:val="1"/>
            </w:numPr>
            <w:tabs>
              <w:tab w:val="left" w:pos="709"/>
            </w:tabs>
            <w:spacing w:line="240" w:lineRule="auto"/>
            <w:ind w:left="0" w:firstLine="0"/>
            <w:jc w:val="both"/>
            <w:rPr>
              <w:sz w:val="23"/>
              <w:szCs w:val="23"/>
            </w:rPr>
          </w:pPr>
          <w:r w:rsidRPr="00406EBF">
            <w:rPr>
              <w:sz w:val="23"/>
              <w:szCs w:val="23"/>
            </w:rPr>
            <w:t>L’EEG relève d’autre part un manque de transparence sur la composition des organes stratégiques</w:t>
          </w:r>
          <w:r w:rsidR="00B26E89" w:rsidRPr="00406EBF">
            <w:rPr>
              <w:sz w:val="23"/>
              <w:szCs w:val="23"/>
            </w:rPr>
            <w:t>/cabinets</w:t>
          </w:r>
          <w:r w:rsidRPr="00406EBF">
            <w:rPr>
              <w:sz w:val="23"/>
              <w:szCs w:val="23"/>
            </w:rPr>
            <w:t xml:space="preserve"> et la rémunération de leurs membres. La désignation de ces personnes n’est pas rendue publique. Les demandes répétées de la presse et de la société civile sur la composition et les attributions des membres des organes stratégiques ont abouti à un certain progrès, puisque la composition des cabinets figure sur certains sites internet</w:t>
          </w:r>
          <w:r w:rsidRPr="00406EBF">
            <w:rPr>
              <w:rStyle w:val="Appelnotedebasdep"/>
              <w:sz w:val="23"/>
              <w:szCs w:val="23"/>
            </w:rPr>
            <w:footnoteReference w:id="10"/>
          </w:r>
          <w:r w:rsidRPr="00406EBF">
            <w:rPr>
              <w:sz w:val="23"/>
              <w:szCs w:val="23"/>
            </w:rPr>
            <w:t xml:space="preserve">. </w:t>
          </w:r>
          <w:r w:rsidR="000034EE" w:rsidRPr="00406EBF">
            <w:rPr>
              <w:sz w:val="23"/>
              <w:szCs w:val="23"/>
            </w:rPr>
            <w:t>Toutefois, il n’est pas possible de vérifier que cette composition est complète et tenue à jour, puisqu’il n’existe aucune obligation de publier ces informations</w:t>
          </w:r>
          <w:r w:rsidR="006522C2">
            <w:rPr>
              <w:rStyle w:val="Appelnotedebasdep"/>
              <w:sz w:val="23"/>
              <w:szCs w:val="23"/>
            </w:rPr>
            <w:footnoteReference w:id="11"/>
          </w:r>
          <w:r w:rsidR="000034EE" w:rsidRPr="00406EBF">
            <w:rPr>
              <w:sz w:val="23"/>
              <w:szCs w:val="23"/>
            </w:rPr>
            <w:t xml:space="preserve">. </w:t>
          </w:r>
          <w:r w:rsidR="006522C2">
            <w:rPr>
              <w:sz w:val="23"/>
              <w:szCs w:val="23"/>
            </w:rPr>
            <w:t>Selon les autorités, la plupart des</w:t>
          </w:r>
          <w:r w:rsidR="000034EE" w:rsidRPr="00406EBF">
            <w:rPr>
              <w:sz w:val="23"/>
              <w:szCs w:val="23"/>
            </w:rPr>
            <w:t xml:space="preserve"> domaines de compétence des membres des </w:t>
          </w:r>
          <w:r w:rsidR="00B26E89" w:rsidRPr="00406EBF">
            <w:rPr>
              <w:sz w:val="23"/>
              <w:szCs w:val="23"/>
            </w:rPr>
            <w:t>organes</w:t>
          </w:r>
          <w:r w:rsidR="000034EE" w:rsidRPr="00406EBF">
            <w:rPr>
              <w:sz w:val="23"/>
              <w:szCs w:val="23"/>
            </w:rPr>
            <w:t xml:space="preserve"> stratégiques sont indiqués</w:t>
          </w:r>
          <w:r w:rsidR="006522C2">
            <w:rPr>
              <w:sz w:val="23"/>
              <w:szCs w:val="23"/>
            </w:rPr>
            <w:t xml:space="preserve"> sur le site belgium.be, qui comprend la liste en général tenue à jour des principaux membres des organes stratégiques</w:t>
          </w:r>
          <w:r w:rsidR="000034EE" w:rsidRPr="00406EBF">
            <w:rPr>
              <w:sz w:val="23"/>
              <w:szCs w:val="23"/>
            </w:rPr>
            <w:t xml:space="preserve">. </w:t>
          </w:r>
        </w:p>
        <w:p w14:paraId="165860E9" w14:textId="77777777" w:rsidR="00C062CB" w:rsidRPr="00406EBF" w:rsidRDefault="00C062CB" w:rsidP="00C062CB">
          <w:pPr>
            <w:pStyle w:val="Paragraphedeliste"/>
            <w:rPr>
              <w:sz w:val="23"/>
              <w:szCs w:val="23"/>
            </w:rPr>
          </w:pPr>
        </w:p>
        <w:p w14:paraId="578A859D" w14:textId="1B222131" w:rsidR="00C062CB" w:rsidRPr="00406EBF" w:rsidRDefault="000034EE" w:rsidP="001D0D12">
          <w:pPr>
            <w:numPr>
              <w:ilvl w:val="0"/>
              <w:numId w:val="1"/>
            </w:numPr>
            <w:tabs>
              <w:tab w:val="left" w:pos="709"/>
            </w:tabs>
            <w:spacing w:line="240" w:lineRule="auto"/>
            <w:ind w:left="0" w:firstLine="0"/>
            <w:jc w:val="both"/>
            <w:rPr>
              <w:sz w:val="23"/>
              <w:szCs w:val="23"/>
            </w:rPr>
          </w:pPr>
          <w:r w:rsidRPr="00406EBF">
            <w:rPr>
              <w:sz w:val="23"/>
              <w:szCs w:val="23"/>
            </w:rPr>
            <w:lastRenderedPageBreak/>
            <w:t>Ce manque de transparence s’étend aussi à la taille des cellules et aux rémunérations perçues par leurs membres. Certains documents</w:t>
          </w:r>
          <w:r w:rsidRPr="00406EBF">
            <w:rPr>
              <w:rStyle w:val="Appelnotedebasdep"/>
              <w:sz w:val="23"/>
              <w:szCs w:val="23"/>
            </w:rPr>
            <w:footnoteReference w:id="12"/>
          </w:r>
          <w:r w:rsidRPr="00406EBF">
            <w:rPr>
              <w:sz w:val="23"/>
              <w:szCs w:val="23"/>
            </w:rPr>
            <w:t xml:space="preserve"> visent à encadrer l’une et l’autre, mais la seule limite est en fait </w:t>
          </w:r>
          <w:r w:rsidR="00D067A2" w:rsidRPr="00406EBF">
            <w:rPr>
              <w:sz w:val="23"/>
              <w:szCs w:val="23"/>
            </w:rPr>
            <w:t>l’enveloppe budgétaire octroyée au</w:t>
          </w:r>
          <w:r w:rsidR="00AF0D16">
            <w:rPr>
              <w:sz w:val="23"/>
              <w:szCs w:val="23"/>
            </w:rPr>
            <w:t>x</w:t>
          </w:r>
          <w:r w:rsidR="00D067A2" w:rsidRPr="00406EBF">
            <w:rPr>
              <w:sz w:val="23"/>
              <w:szCs w:val="23"/>
            </w:rPr>
            <w:t xml:space="preserve"> ministre</w:t>
          </w:r>
          <w:r w:rsidR="00AF0D16">
            <w:rPr>
              <w:sz w:val="23"/>
              <w:szCs w:val="23"/>
            </w:rPr>
            <w:t>s</w:t>
          </w:r>
          <w:r w:rsidR="00D067A2" w:rsidRPr="00406EBF">
            <w:rPr>
              <w:sz w:val="23"/>
              <w:szCs w:val="23"/>
            </w:rPr>
            <w:t xml:space="preserve"> ou secrétaire</w:t>
          </w:r>
          <w:r w:rsidR="00AF0D16">
            <w:rPr>
              <w:sz w:val="23"/>
              <w:szCs w:val="23"/>
            </w:rPr>
            <w:t>s</w:t>
          </w:r>
          <w:r w:rsidR="00D067A2" w:rsidRPr="00406EBF">
            <w:rPr>
              <w:sz w:val="23"/>
              <w:szCs w:val="23"/>
            </w:rPr>
            <w:t xml:space="preserve"> d’Etat pour l’emploi de ces collaborateurs. Il n’y a pas de grille des salaires</w:t>
          </w:r>
          <w:r w:rsidR="00AF0D16">
            <w:rPr>
              <w:sz w:val="23"/>
              <w:szCs w:val="23"/>
            </w:rPr>
            <w:t>. La rémunération de chaque membre des secrétariats et des organes stratégiques est mentionnée dans l’arrêté ministériel de désignation, qui est ensuite transmis au service Personnel et Organisation des SPF concernés</w:t>
          </w:r>
          <w:r w:rsidR="00B03067" w:rsidRPr="00406EBF">
            <w:rPr>
              <w:sz w:val="23"/>
              <w:szCs w:val="23"/>
            </w:rPr>
            <w:t xml:space="preserve">. En outre, des experts peuvent être adjoints à la cellule dans la limite de l’enveloppe budgétaire, qui peut être revue. </w:t>
          </w:r>
          <w:r w:rsidR="00D067A2" w:rsidRPr="00406EBF">
            <w:rPr>
              <w:sz w:val="23"/>
              <w:szCs w:val="23"/>
            </w:rPr>
            <w:t xml:space="preserve"> </w:t>
          </w:r>
        </w:p>
        <w:p w14:paraId="7834AFFF" w14:textId="77777777" w:rsidR="00B03067" w:rsidRPr="00406EBF" w:rsidRDefault="00B03067" w:rsidP="00B03067">
          <w:pPr>
            <w:pStyle w:val="Paragraphedeliste"/>
            <w:rPr>
              <w:sz w:val="23"/>
              <w:szCs w:val="23"/>
            </w:rPr>
          </w:pPr>
        </w:p>
        <w:p w14:paraId="1850D348" w14:textId="4DCDE4ED" w:rsidR="00B03067" w:rsidRPr="004409F8" w:rsidRDefault="00B03067" w:rsidP="001D0D12">
          <w:pPr>
            <w:numPr>
              <w:ilvl w:val="0"/>
              <w:numId w:val="1"/>
            </w:numPr>
            <w:tabs>
              <w:tab w:val="left" w:pos="709"/>
            </w:tabs>
            <w:spacing w:line="240" w:lineRule="auto"/>
            <w:ind w:left="0" w:firstLine="0"/>
            <w:jc w:val="both"/>
            <w:rPr>
              <w:sz w:val="23"/>
              <w:szCs w:val="23"/>
            </w:rPr>
          </w:pPr>
          <w:r w:rsidRPr="00406EBF">
            <w:rPr>
              <w:sz w:val="23"/>
              <w:szCs w:val="23"/>
            </w:rPr>
            <w:t xml:space="preserve">Compte tenu des paragraphes qui précèdent, </w:t>
          </w:r>
          <w:r w:rsidRPr="00406EBF">
            <w:rPr>
              <w:b/>
              <w:sz w:val="23"/>
              <w:szCs w:val="23"/>
            </w:rPr>
            <w:t xml:space="preserve">le GRECO recommande </w:t>
          </w:r>
          <w:bookmarkStart w:id="28" w:name="_Hlk26528484"/>
          <w:r w:rsidRPr="00406EBF">
            <w:rPr>
              <w:b/>
              <w:sz w:val="23"/>
              <w:szCs w:val="23"/>
            </w:rPr>
            <w:t>(i)</w:t>
          </w:r>
          <w:r w:rsidR="00106DF5" w:rsidRPr="00406EBF">
            <w:rPr>
              <w:b/>
              <w:sz w:val="23"/>
              <w:szCs w:val="23"/>
            </w:rPr>
            <w:t xml:space="preserve"> </w:t>
          </w:r>
          <w:r w:rsidRPr="00406EBF">
            <w:rPr>
              <w:b/>
              <w:sz w:val="23"/>
              <w:szCs w:val="23"/>
            </w:rPr>
            <w:t>d’encadrer les conditions de recrutement direct et d’emploi des membres des organes stratégiques</w:t>
          </w:r>
          <w:r w:rsidR="00B26E89" w:rsidRPr="00406EBF">
            <w:rPr>
              <w:b/>
              <w:sz w:val="23"/>
              <w:szCs w:val="23"/>
            </w:rPr>
            <w:t>/cabinets</w:t>
          </w:r>
          <w:r w:rsidRPr="00406EBF">
            <w:rPr>
              <w:b/>
              <w:sz w:val="23"/>
              <w:szCs w:val="23"/>
            </w:rPr>
            <w:t xml:space="preserve"> au regard des risques relatifs à l’intégrité et aux conflits d’inté</w:t>
          </w:r>
          <w:r w:rsidR="00106DF5" w:rsidRPr="00406EBF">
            <w:rPr>
              <w:b/>
              <w:sz w:val="23"/>
              <w:szCs w:val="23"/>
            </w:rPr>
            <w:t xml:space="preserve">rêts et (ii) que les noms et fonctions de tous les « collaborateurs </w:t>
          </w:r>
          <w:r w:rsidR="00AF0D16">
            <w:rPr>
              <w:b/>
              <w:sz w:val="23"/>
              <w:szCs w:val="23"/>
            </w:rPr>
            <w:t>de fond</w:t>
          </w:r>
          <w:r w:rsidR="00AF0D16" w:rsidRPr="00406EBF">
            <w:rPr>
              <w:b/>
              <w:sz w:val="23"/>
              <w:szCs w:val="23"/>
            </w:rPr>
            <w:t> </w:t>
          </w:r>
          <w:r w:rsidR="00106DF5" w:rsidRPr="00406EBF">
            <w:rPr>
              <w:b/>
              <w:sz w:val="23"/>
              <w:szCs w:val="23"/>
            </w:rPr>
            <w:t>» soient publiés sur les sites internet du gouvernement</w:t>
          </w:r>
          <w:bookmarkEnd w:id="28"/>
          <w:r w:rsidR="00106DF5" w:rsidRPr="00406EBF">
            <w:rPr>
              <w:sz w:val="23"/>
              <w:szCs w:val="23"/>
            </w:rPr>
            <w:t xml:space="preserve">, étant entendu que des déclarations d’intérêts doivent rendre leurs intérêts, leurs activités accessoires et la rémunération de ces dernières transparentes (voir </w:t>
          </w:r>
          <w:r w:rsidR="00106DF5" w:rsidRPr="004409F8">
            <w:rPr>
              <w:sz w:val="23"/>
              <w:szCs w:val="23"/>
            </w:rPr>
            <w:t xml:space="preserve">paragraphe </w:t>
          </w:r>
          <w:r w:rsidR="00A712BB" w:rsidRPr="004409F8">
            <w:rPr>
              <w:sz w:val="23"/>
              <w:szCs w:val="23"/>
            </w:rPr>
            <w:t>9</w:t>
          </w:r>
          <w:r w:rsidR="003E5E8D" w:rsidRPr="004409F8">
            <w:rPr>
              <w:sz w:val="23"/>
              <w:szCs w:val="23"/>
            </w:rPr>
            <w:t>5</w:t>
          </w:r>
          <w:r w:rsidR="00106DF5" w:rsidRPr="004409F8">
            <w:rPr>
              <w:sz w:val="23"/>
              <w:szCs w:val="23"/>
            </w:rPr>
            <w:t xml:space="preserve"> et recommandation </w:t>
          </w:r>
          <w:r w:rsidR="00A712BB" w:rsidRPr="004409F8">
            <w:rPr>
              <w:sz w:val="23"/>
              <w:szCs w:val="23"/>
            </w:rPr>
            <w:t>x</w:t>
          </w:r>
          <w:r w:rsidR="00EE72EF" w:rsidRPr="004409F8">
            <w:rPr>
              <w:sz w:val="23"/>
              <w:szCs w:val="23"/>
            </w:rPr>
            <w:t>i</w:t>
          </w:r>
          <w:r w:rsidR="00A712BB" w:rsidRPr="004409F8">
            <w:rPr>
              <w:sz w:val="23"/>
              <w:szCs w:val="23"/>
            </w:rPr>
            <w:t>i</w:t>
          </w:r>
          <w:r w:rsidR="00106DF5" w:rsidRPr="004409F8">
            <w:rPr>
              <w:sz w:val="23"/>
              <w:szCs w:val="23"/>
            </w:rPr>
            <w:t xml:space="preserve"> ci-dessous).</w:t>
          </w:r>
        </w:p>
        <w:p w14:paraId="6FC63E8E" w14:textId="77777777" w:rsidR="000034EE" w:rsidRPr="00406EBF" w:rsidRDefault="000034EE" w:rsidP="000034EE">
          <w:pPr>
            <w:pStyle w:val="Paragraphedeliste"/>
            <w:rPr>
              <w:sz w:val="23"/>
              <w:szCs w:val="23"/>
            </w:rPr>
          </w:pPr>
        </w:p>
        <w:p w14:paraId="235ABFC7" w14:textId="77777777" w:rsidR="00C9334B" w:rsidRPr="00406EBF" w:rsidRDefault="00C9334B" w:rsidP="001878CC">
          <w:pPr>
            <w:pStyle w:val="Titre2"/>
            <w:tabs>
              <w:tab w:val="left" w:pos="709"/>
            </w:tabs>
            <w:spacing w:before="0" w:line="240" w:lineRule="auto"/>
            <w:rPr>
              <w:rFonts w:asciiTheme="minorHAnsi" w:hAnsiTheme="minorHAnsi"/>
              <w:color w:val="auto"/>
              <w:sz w:val="23"/>
              <w:szCs w:val="23"/>
              <w:u w:val="single"/>
            </w:rPr>
          </w:pPr>
          <w:bookmarkStart w:id="29" w:name="_Toc2777382"/>
          <w:bookmarkStart w:id="30" w:name="_Toc21339556"/>
          <w:r w:rsidRPr="00406EBF">
            <w:rPr>
              <w:rFonts w:asciiTheme="minorHAnsi" w:hAnsiTheme="minorHAnsi"/>
              <w:color w:val="auto"/>
              <w:sz w:val="23"/>
              <w:szCs w:val="23"/>
              <w:u w:val="single"/>
            </w:rPr>
            <w:t>Politique anticorruption et d'intégrité, cadre réglementaire et institutionnel</w:t>
          </w:r>
          <w:bookmarkEnd w:id="29"/>
          <w:bookmarkEnd w:id="30"/>
        </w:p>
        <w:p w14:paraId="6B7C083C" w14:textId="77777777" w:rsidR="00C9334B" w:rsidRPr="00406EBF" w:rsidRDefault="00C9334B" w:rsidP="001878CC">
          <w:pPr>
            <w:tabs>
              <w:tab w:val="left" w:pos="709"/>
            </w:tabs>
            <w:spacing w:line="240" w:lineRule="auto"/>
            <w:jc w:val="both"/>
            <w:rPr>
              <w:rFonts w:cstheme="minorHAnsi"/>
              <w:sz w:val="23"/>
              <w:szCs w:val="23"/>
            </w:rPr>
          </w:pPr>
        </w:p>
        <w:p w14:paraId="1054E8ED" w14:textId="77777777" w:rsidR="00C9334B" w:rsidRPr="00406EBF" w:rsidRDefault="00C9334B" w:rsidP="001878CC">
          <w:pPr>
            <w:pStyle w:val="Titre3"/>
            <w:tabs>
              <w:tab w:val="left" w:pos="709"/>
            </w:tabs>
            <w:spacing w:before="0" w:line="240" w:lineRule="auto"/>
            <w:rPr>
              <w:rFonts w:asciiTheme="minorHAnsi" w:hAnsiTheme="minorHAnsi" w:cstheme="minorHAnsi"/>
              <w:b w:val="0"/>
              <w:i/>
              <w:color w:val="auto"/>
              <w:sz w:val="23"/>
              <w:szCs w:val="23"/>
            </w:rPr>
          </w:pPr>
          <w:bookmarkStart w:id="31" w:name="_Toc2777383"/>
          <w:bookmarkStart w:id="32" w:name="_Toc21339557"/>
          <w:r w:rsidRPr="00406EBF">
            <w:rPr>
              <w:rFonts w:asciiTheme="minorHAnsi" w:hAnsiTheme="minorHAnsi" w:cstheme="minorHAnsi"/>
              <w:b w:val="0"/>
              <w:i/>
              <w:color w:val="auto"/>
              <w:sz w:val="23"/>
              <w:szCs w:val="23"/>
            </w:rPr>
            <w:t>Politique anticorruption et d'intégrité</w:t>
          </w:r>
          <w:bookmarkEnd w:id="31"/>
          <w:bookmarkEnd w:id="32"/>
        </w:p>
        <w:p w14:paraId="24787AC8" w14:textId="77777777" w:rsidR="00C9334B" w:rsidRPr="00406EBF" w:rsidRDefault="00C9334B" w:rsidP="001878CC">
          <w:pPr>
            <w:keepNext/>
            <w:keepLines/>
            <w:tabs>
              <w:tab w:val="left" w:pos="709"/>
            </w:tabs>
            <w:spacing w:line="240" w:lineRule="auto"/>
            <w:jc w:val="both"/>
            <w:rPr>
              <w:rFonts w:cstheme="minorHAnsi"/>
              <w:b/>
              <w:i/>
              <w:sz w:val="19"/>
              <w:szCs w:val="19"/>
            </w:rPr>
          </w:pPr>
        </w:p>
        <w:p w14:paraId="3D0B045A" w14:textId="39BDBF7A" w:rsidR="007B7A58" w:rsidRPr="00406EBF" w:rsidRDefault="00853E59" w:rsidP="00097EA7">
          <w:pPr>
            <w:numPr>
              <w:ilvl w:val="0"/>
              <w:numId w:val="1"/>
            </w:numPr>
            <w:tabs>
              <w:tab w:val="left" w:pos="709"/>
            </w:tabs>
            <w:spacing w:line="240" w:lineRule="auto"/>
            <w:ind w:left="0" w:firstLine="0"/>
            <w:jc w:val="both"/>
            <w:rPr>
              <w:rFonts w:cstheme="minorHAnsi"/>
              <w:sz w:val="23"/>
              <w:szCs w:val="23"/>
            </w:rPr>
          </w:pPr>
          <w:r w:rsidRPr="00406EBF">
            <w:rPr>
              <w:rFonts w:cs="Verdana,Bold"/>
              <w:sz w:val="23"/>
              <w:szCs w:val="23"/>
            </w:rPr>
            <w:t xml:space="preserve">Il n’existe pas de politique en matière de prévention de la corruption et de promotion de l’intégrité </w:t>
          </w:r>
          <w:r w:rsidR="00AF0D16">
            <w:rPr>
              <w:rFonts w:cs="Verdana,Bold"/>
              <w:sz w:val="23"/>
              <w:szCs w:val="23"/>
            </w:rPr>
            <w:t>visant spécifiquement</w:t>
          </w:r>
          <w:r w:rsidR="00AF0D16" w:rsidRPr="00406EBF">
            <w:rPr>
              <w:rFonts w:cs="Verdana,Bold"/>
              <w:sz w:val="23"/>
              <w:szCs w:val="23"/>
            </w:rPr>
            <w:t xml:space="preserve"> </w:t>
          </w:r>
          <w:r w:rsidRPr="00406EBF">
            <w:rPr>
              <w:rFonts w:cs="Verdana,Bold"/>
              <w:sz w:val="23"/>
              <w:szCs w:val="23"/>
            </w:rPr>
            <w:t xml:space="preserve">les PHFE. </w:t>
          </w:r>
          <w:r w:rsidR="00AF0D16">
            <w:rPr>
              <w:rFonts w:cs="Verdana,Bold"/>
              <w:sz w:val="23"/>
              <w:szCs w:val="23"/>
            </w:rPr>
            <w:t xml:space="preserve">Le Code de déontologie des mandataires publics et les avis de la Commission fédérale de déontologie s’appliquent seulement à certaines d’entre elles, comme on le verra ci-dessous. </w:t>
          </w:r>
          <w:r w:rsidR="00097EA7" w:rsidRPr="00406EBF">
            <w:rPr>
              <w:rFonts w:cs="Verdana,Bold"/>
              <w:sz w:val="23"/>
              <w:szCs w:val="23"/>
            </w:rPr>
            <w:t xml:space="preserve">Il existe </w:t>
          </w:r>
          <w:r w:rsidR="00AF0D16">
            <w:rPr>
              <w:rFonts w:cs="Verdana,Bold"/>
              <w:sz w:val="23"/>
              <w:szCs w:val="23"/>
            </w:rPr>
            <w:t>aussi</w:t>
          </w:r>
          <w:r w:rsidR="00097EA7" w:rsidRPr="00406EBF">
            <w:rPr>
              <w:rFonts w:cs="Verdana,Bold"/>
              <w:sz w:val="23"/>
              <w:szCs w:val="23"/>
            </w:rPr>
            <w:t xml:space="preserve"> </w:t>
          </w:r>
          <w:r w:rsidRPr="00406EBF">
            <w:rPr>
              <w:rFonts w:cstheme="minorHAnsi"/>
              <w:sz w:val="23"/>
              <w:szCs w:val="23"/>
            </w:rPr>
            <w:t>une note de « politique d’intégrité préventive fédérale » approuvée par le Conseil des ministres le 30 juin 2006</w:t>
          </w:r>
          <w:r w:rsidR="00097EA7" w:rsidRPr="00406EBF">
            <w:rPr>
              <w:rFonts w:cstheme="minorHAnsi"/>
              <w:sz w:val="23"/>
              <w:szCs w:val="23"/>
            </w:rPr>
            <w:t>, qui</w:t>
          </w:r>
          <w:r w:rsidRPr="00406EBF">
            <w:rPr>
              <w:rFonts w:cstheme="minorHAnsi"/>
              <w:sz w:val="23"/>
              <w:szCs w:val="23"/>
            </w:rPr>
            <w:t xml:space="preserve"> contient plusieurs lignes de force concernant la gestion de l’intégrité. </w:t>
          </w:r>
          <w:r w:rsidR="00097EA7" w:rsidRPr="00406EBF">
            <w:rPr>
              <w:rFonts w:cstheme="minorHAnsi"/>
              <w:sz w:val="23"/>
              <w:szCs w:val="23"/>
            </w:rPr>
            <w:t xml:space="preserve">Toutefois, cette note s’applique aux fonctionnaires dirigeants au sein des services publics fédéraux (le nom des ministères depuis la réforme COPERNIC) et non aux PHFE. </w:t>
          </w:r>
          <w:r w:rsidR="007B7A58" w:rsidRPr="00406EBF">
            <w:rPr>
              <w:rFonts w:cstheme="minorHAnsi"/>
              <w:sz w:val="23"/>
              <w:szCs w:val="23"/>
            </w:rPr>
            <w:t xml:space="preserve">Il n’y a pas de </w:t>
          </w:r>
          <w:r w:rsidR="00097EA7" w:rsidRPr="00406EBF">
            <w:rPr>
              <w:rFonts w:cstheme="minorHAnsi"/>
              <w:sz w:val="23"/>
              <w:szCs w:val="23"/>
            </w:rPr>
            <w:t xml:space="preserve">non plus de </w:t>
          </w:r>
          <w:r w:rsidR="007B7A58" w:rsidRPr="00406EBF">
            <w:rPr>
              <w:rFonts w:cstheme="minorHAnsi"/>
              <w:sz w:val="23"/>
              <w:szCs w:val="23"/>
            </w:rPr>
            <w:t xml:space="preserve">vérification de l’intégrité ou d’enquête approfondie à l’égard des PHFE. </w:t>
          </w:r>
        </w:p>
        <w:p w14:paraId="6AB2C549" w14:textId="77777777" w:rsidR="00177A66" w:rsidRPr="00406EBF" w:rsidRDefault="00177A66" w:rsidP="00177A66">
          <w:pPr>
            <w:pStyle w:val="Paragraphedeliste"/>
            <w:rPr>
              <w:rFonts w:cstheme="minorHAnsi"/>
              <w:sz w:val="23"/>
              <w:szCs w:val="23"/>
            </w:rPr>
          </w:pPr>
        </w:p>
        <w:p w14:paraId="6747847E" w14:textId="77777777" w:rsidR="007B7A58" w:rsidRPr="00406EBF" w:rsidRDefault="007B7A58" w:rsidP="007B7A5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Aucune analyse générique n’a été réalisée concernant les principaux facteurs de risque de corruption et les mécanismes de gestion des risques appliqués aux PHFE. Au regard de cette lacune, le Comité d'audit de l'Administration fédérale (CAAF) a formulé le point d'attention suivant dans son "Rapport au gouvernement sur le fonctionnement du système de contrôle interne au sein de l'administration fédérale de 2018" : « </w:t>
          </w:r>
          <w:r w:rsidRPr="00406EBF">
            <w:rPr>
              <w:rFonts w:cstheme="minorHAnsi"/>
              <w:i/>
              <w:sz w:val="23"/>
              <w:szCs w:val="23"/>
            </w:rPr>
            <w:t>Bien qu’il soit parfois fait mention d’une politique d’intégrité, peu d’institutions accentuent explicitement les risques de fraude dans leur maitrise interne. Une bonne gouvernance considérant des préoccupations éthiques requiert une vision d’ensemble sur les risques de fraude. Le CAAF suggère que toutes les institutions fédérales prennent en compte les risques de fraude de manière explicite dans leur contrôle interne</w:t>
          </w:r>
          <w:r w:rsidRPr="00406EBF">
            <w:rPr>
              <w:rFonts w:cstheme="minorHAnsi"/>
              <w:sz w:val="23"/>
              <w:szCs w:val="23"/>
            </w:rPr>
            <w:t>. »</w:t>
          </w:r>
        </w:p>
        <w:p w14:paraId="3DB2C318" w14:textId="77777777" w:rsidR="00056A76" w:rsidRPr="00406EBF" w:rsidRDefault="00056A76" w:rsidP="00056A76">
          <w:pPr>
            <w:pStyle w:val="Paragraphedeliste"/>
            <w:rPr>
              <w:rFonts w:cstheme="minorHAnsi"/>
              <w:sz w:val="23"/>
              <w:szCs w:val="23"/>
            </w:rPr>
          </w:pPr>
        </w:p>
        <w:p w14:paraId="0DF34A16" w14:textId="68065810" w:rsidR="00056A76" w:rsidRPr="00406EBF" w:rsidRDefault="00056A76" w:rsidP="007B7A5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L’EEG</w:t>
          </w:r>
          <w:r w:rsidR="00D2597E">
            <w:rPr>
              <w:rFonts w:cstheme="minorHAnsi"/>
              <w:sz w:val="23"/>
              <w:szCs w:val="23"/>
            </w:rPr>
            <w:t xml:space="preserve"> est fermement persuadée</w:t>
          </w:r>
          <w:r w:rsidRPr="00406EBF">
            <w:rPr>
              <w:rFonts w:cstheme="minorHAnsi"/>
              <w:sz w:val="23"/>
              <w:szCs w:val="23"/>
            </w:rPr>
            <w:t xml:space="preserve"> que la prévention </w:t>
          </w:r>
          <w:r w:rsidR="00D2597E">
            <w:rPr>
              <w:rFonts w:cstheme="minorHAnsi"/>
              <w:sz w:val="23"/>
              <w:szCs w:val="23"/>
            </w:rPr>
            <w:t>de</w:t>
          </w:r>
          <w:r w:rsidRPr="00406EBF">
            <w:rPr>
              <w:rFonts w:cstheme="minorHAnsi"/>
              <w:sz w:val="23"/>
              <w:szCs w:val="23"/>
            </w:rPr>
            <w:t xml:space="preserve"> la corruption</w:t>
          </w:r>
          <w:r w:rsidR="00D334A5">
            <w:rPr>
              <w:rFonts w:cstheme="minorHAnsi"/>
              <w:sz w:val="23"/>
              <w:szCs w:val="23"/>
            </w:rPr>
            <w:t xml:space="preserve"> des PHFE</w:t>
          </w:r>
          <w:r w:rsidRPr="00406EBF">
            <w:rPr>
              <w:rFonts w:cstheme="minorHAnsi"/>
              <w:sz w:val="23"/>
              <w:szCs w:val="23"/>
            </w:rPr>
            <w:t xml:space="preserve"> </w:t>
          </w:r>
          <w:r w:rsidR="00D2597E">
            <w:rPr>
              <w:rFonts w:cstheme="minorHAnsi"/>
              <w:sz w:val="23"/>
              <w:szCs w:val="23"/>
            </w:rPr>
            <w:t>doit être renforcée</w:t>
          </w:r>
          <w:r w:rsidRPr="00406EBF">
            <w:rPr>
              <w:rFonts w:cstheme="minorHAnsi"/>
              <w:sz w:val="23"/>
              <w:szCs w:val="23"/>
            </w:rPr>
            <w:t xml:space="preserve">. Selon l’un de ses interlocuteurs, </w:t>
          </w:r>
          <w:r w:rsidR="0050768D" w:rsidRPr="00406EBF">
            <w:rPr>
              <w:rFonts w:cstheme="minorHAnsi"/>
              <w:sz w:val="23"/>
              <w:szCs w:val="23"/>
            </w:rPr>
            <w:t xml:space="preserve">la culture politique belge ne place pas ces questions au centre de l’agenda. Les règles relatives à l’intégrité des PHFE sont à peu près inexistantes, comme on le verra dans les sections suivantes de ce rapport. Il n’existe que très peu de règles sur </w:t>
          </w:r>
          <w:r w:rsidR="0050768D" w:rsidRPr="00406EBF">
            <w:rPr>
              <w:rFonts w:cstheme="minorHAnsi"/>
              <w:sz w:val="23"/>
              <w:szCs w:val="23"/>
            </w:rPr>
            <w:lastRenderedPageBreak/>
            <w:t>les incompatibilités</w:t>
          </w:r>
          <w:r w:rsidR="00A712BB">
            <w:rPr>
              <w:rFonts w:cstheme="minorHAnsi"/>
              <w:sz w:val="23"/>
              <w:szCs w:val="23"/>
            </w:rPr>
            <w:t>,</w:t>
          </w:r>
          <w:r w:rsidR="0050768D" w:rsidRPr="00406EBF">
            <w:rPr>
              <w:rFonts w:cstheme="minorHAnsi"/>
              <w:sz w:val="23"/>
              <w:szCs w:val="23"/>
            </w:rPr>
            <w:t xml:space="preserve"> les conflits d’intérêts, les cadeaux</w:t>
          </w:r>
          <w:r w:rsidR="00A712BB">
            <w:rPr>
              <w:rFonts w:cstheme="minorHAnsi"/>
              <w:sz w:val="23"/>
              <w:szCs w:val="23"/>
            </w:rPr>
            <w:t xml:space="preserve"> et aucune</w:t>
          </w:r>
          <w:r w:rsidR="0050768D" w:rsidRPr="00406EBF">
            <w:rPr>
              <w:rFonts w:cstheme="minorHAnsi"/>
              <w:sz w:val="23"/>
              <w:szCs w:val="23"/>
            </w:rPr>
            <w:t xml:space="preserve"> </w:t>
          </w:r>
          <w:r w:rsidR="00C44BE8">
            <w:rPr>
              <w:rFonts w:cstheme="minorHAnsi"/>
              <w:sz w:val="23"/>
              <w:szCs w:val="23"/>
            </w:rPr>
            <w:t xml:space="preserve">sur </w:t>
          </w:r>
          <w:r w:rsidR="0050768D" w:rsidRPr="00406EBF">
            <w:rPr>
              <w:rFonts w:cstheme="minorHAnsi"/>
              <w:sz w:val="23"/>
              <w:szCs w:val="23"/>
            </w:rPr>
            <w:t xml:space="preserve">les relations avec les tiers, le pantouflage, etc. </w:t>
          </w:r>
        </w:p>
        <w:p w14:paraId="496DE3B7" w14:textId="77777777" w:rsidR="00360DD2" w:rsidRPr="00406EBF" w:rsidRDefault="00360DD2" w:rsidP="00360DD2">
          <w:pPr>
            <w:pStyle w:val="Paragraphedeliste"/>
            <w:rPr>
              <w:rFonts w:cstheme="minorHAnsi"/>
              <w:sz w:val="23"/>
              <w:szCs w:val="23"/>
            </w:rPr>
          </w:pPr>
        </w:p>
        <w:p w14:paraId="17C5C663" w14:textId="15CA9CAA" w:rsidR="00360DD2" w:rsidRPr="00406EBF" w:rsidRDefault="00360DD2" w:rsidP="007B7A5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Il s’agit là, de l’avis de l’EEG, d’une lacune importante, qui doit impérativement être comblée. Ceci devrait passer par une analyse approfondie des domaines où les risques de conflits d’intérêt et de corruption demeurent particulièrement élevé</w:t>
          </w:r>
          <w:r w:rsidR="004F1772" w:rsidRPr="00406EBF">
            <w:rPr>
              <w:rFonts w:cstheme="minorHAnsi"/>
              <w:sz w:val="23"/>
              <w:szCs w:val="23"/>
            </w:rPr>
            <w:t>s</w:t>
          </w:r>
          <w:r w:rsidRPr="00406EBF">
            <w:rPr>
              <w:rFonts w:cstheme="minorHAnsi"/>
              <w:sz w:val="23"/>
              <w:szCs w:val="23"/>
            </w:rPr>
            <w:t>. Une telle analyse contribuerait à faire prendre conscience aux responsables politiques de la valeur ajoutée</w:t>
          </w:r>
          <w:r w:rsidR="004F1772" w:rsidRPr="00406EBF">
            <w:rPr>
              <w:rFonts w:cstheme="minorHAnsi"/>
              <w:sz w:val="23"/>
              <w:szCs w:val="23"/>
            </w:rPr>
            <w:t xml:space="preserve"> d’une stratégie de promotion de l’intégrité, ce qui ne semble pas être le cas à l’heure actuelle. Elle mettrait aussi l’accent sur le fait que la corruption ne se résume pas à la remise de pots-de-vin, mais passe aussi par la prise de décisions impartiales par le gouvernement. Une telle analyse devrait bien entendu également prendre en compte le rôle des « collaborateurs </w:t>
          </w:r>
          <w:r w:rsidR="00D334A5">
            <w:rPr>
              <w:rFonts w:cstheme="minorHAnsi"/>
              <w:sz w:val="23"/>
              <w:szCs w:val="23"/>
            </w:rPr>
            <w:t>de fond</w:t>
          </w:r>
          <w:r w:rsidR="00D334A5" w:rsidRPr="00406EBF">
            <w:rPr>
              <w:rFonts w:cstheme="minorHAnsi"/>
              <w:sz w:val="23"/>
              <w:szCs w:val="23"/>
            </w:rPr>
            <w:t> </w:t>
          </w:r>
          <w:r w:rsidR="004F1772" w:rsidRPr="00406EBF">
            <w:rPr>
              <w:rFonts w:cstheme="minorHAnsi"/>
              <w:sz w:val="23"/>
              <w:szCs w:val="23"/>
            </w:rPr>
            <w:t xml:space="preserve">» des membres du gouvernement. </w:t>
          </w:r>
          <w:r w:rsidR="004F1772" w:rsidRPr="00406EBF">
            <w:rPr>
              <w:rFonts w:cstheme="minorHAnsi"/>
              <w:b/>
              <w:sz w:val="23"/>
              <w:szCs w:val="23"/>
            </w:rPr>
            <w:t>Le GRECO recommande d’élaborer, sur la base d’une analyse des risques, une stratégie coordonnée visant à promouvoir l’intégrité des personnes occupant de hautes fonctions de l’exécutif.</w:t>
          </w:r>
        </w:p>
        <w:p w14:paraId="195894D1" w14:textId="77777777" w:rsidR="008F4D6B" w:rsidRPr="00406EBF" w:rsidRDefault="008F4D6B" w:rsidP="008F4D6B">
          <w:pPr>
            <w:pStyle w:val="Paragraphedeliste"/>
            <w:rPr>
              <w:rFonts w:cstheme="minorHAnsi"/>
              <w:sz w:val="23"/>
              <w:szCs w:val="23"/>
            </w:rPr>
          </w:pPr>
        </w:p>
        <w:p w14:paraId="7651C906" w14:textId="77777777" w:rsidR="00A7080F" w:rsidRPr="00406EBF" w:rsidRDefault="00A7080F" w:rsidP="00A7080F">
          <w:pPr>
            <w:pStyle w:val="Titre3"/>
            <w:keepLines w:val="0"/>
            <w:tabs>
              <w:tab w:val="left" w:pos="709"/>
            </w:tabs>
            <w:spacing w:before="0" w:line="240" w:lineRule="auto"/>
            <w:rPr>
              <w:rFonts w:asciiTheme="minorHAnsi" w:hAnsiTheme="minorHAnsi" w:cstheme="minorHAnsi"/>
              <w:b w:val="0"/>
              <w:i/>
              <w:color w:val="auto"/>
              <w:sz w:val="23"/>
              <w:szCs w:val="23"/>
            </w:rPr>
          </w:pPr>
          <w:bookmarkStart w:id="33" w:name="_Toc2777384"/>
          <w:bookmarkStart w:id="34" w:name="_Toc21339558"/>
          <w:r w:rsidRPr="00406EBF">
            <w:rPr>
              <w:rFonts w:asciiTheme="minorHAnsi" w:hAnsiTheme="minorHAnsi" w:cstheme="minorHAnsi"/>
              <w:b w:val="0"/>
              <w:i/>
              <w:color w:val="auto"/>
              <w:sz w:val="23"/>
              <w:szCs w:val="23"/>
            </w:rPr>
            <w:t>Cadre réglementaire et code de déontologie</w:t>
          </w:r>
          <w:bookmarkEnd w:id="33"/>
          <w:bookmarkEnd w:id="34"/>
          <w:r w:rsidRPr="00406EBF">
            <w:rPr>
              <w:rFonts w:asciiTheme="minorHAnsi" w:hAnsiTheme="minorHAnsi" w:cstheme="minorHAnsi"/>
              <w:b w:val="0"/>
              <w:i/>
              <w:color w:val="auto"/>
              <w:sz w:val="23"/>
              <w:szCs w:val="23"/>
            </w:rPr>
            <w:t xml:space="preserve"> </w:t>
          </w:r>
        </w:p>
        <w:p w14:paraId="3A99E6BD" w14:textId="77777777" w:rsidR="00A7080F" w:rsidRPr="00406EBF" w:rsidRDefault="00A7080F" w:rsidP="00A7080F">
          <w:pPr>
            <w:spacing w:line="240" w:lineRule="auto"/>
            <w:jc w:val="both"/>
            <w:rPr>
              <w:i/>
              <w:sz w:val="23"/>
              <w:szCs w:val="23"/>
            </w:rPr>
          </w:pPr>
        </w:p>
        <w:p w14:paraId="3D35A85E" w14:textId="5AA4C68E" w:rsidR="00A7080F" w:rsidRPr="00406EBF" w:rsidRDefault="00065CAC" w:rsidP="00A7080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Il existe plusieurs textes relatifs à des normes éthiques et déontologiques, notamment </w:t>
          </w:r>
          <w:r w:rsidR="00A7080F" w:rsidRPr="00406EBF">
            <w:rPr>
              <w:rFonts w:cstheme="minorHAnsi"/>
              <w:sz w:val="23"/>
              <w:szCs w:val="23"/>
            </w:rPr>
            <w:t>l’arrêté royal du 2 octobre 1937 portant le statut des agents de l’Etat</w:t>
          </w:r>
          <w:r w:rsidR="00A7080F" w:rsidRPr="00406EBF">
            <w:rPr>
              <w:rStyle w:val="Appelnotedebasdep"/>
              <w:rFonts w:cstheme="minorHAnsi"/>
              <w:sz w:val="23"/>
              <w:szCs w:val="23"/>
            </w:rPr>
            <w:footnoteReference w:id="13"/>
          </w:r>
          <w:r w:rsidR="00A7080F" w:rsidRPr="00406EBF">
            <w:rPr>
              <w:rFonts w:cstheme="minorHAnsi"/>
              <w:sz w:val="23"/>
              <w:szCs w:val="23"/>
            </w:rPr>
            <w:t xml:space="preserve"> (ci-après le statut des agents de l’Etat), la circulaire n°573 relative au « cadre déontologique pour les agents de la fonction publique administrative fédérale » </w:t>
          </w:r>
          <w:r w:rsidR="00A7080F" w:rsidRPr="00406EBF">
            <w:rPr>
              <w:rStyle w:val="Appelnotedebasdep"/>
              <w:rFonts w:cstheme="minorHAnsi"/>
              <w:sz w:val="23"/>
              <w:szCs w:val="23"/>
            </w:rPr>
            <w:footnoteReference w:id="14"/>
          </w:r>
          <w:r w:rsidR="00A7080F" w:rsidRPr="00406EBF">
            <w:rPr>
              <w:rFonts w:cstheme="minorHAnsi"/>
              <w:sz w:val="23"/>
              <w:szCs w:val="23"/>
            </w:rPr>
            <w:t>et la loi du 6 janvier 2014 portant création d’une Commission fédérale de déontologie et contenant le Code de déontologie des mandataires publics</w:t>
          </w:r>
          <w:r w:rsidRPr="00406EBF">
            <w:rPr>
              <w:sz w:val="21"/>
              <w:szCs w:val="21"/>
              <w:vertAlign w:val="superscript"/>
            </w:rPr>
            <w:footnoteReference w:id="15"/>
          </w:r>
          <w:r w:rsidR="00A7080F" w:rsidRPr="00406EBF">
            <w:rPr>
              <w:rFonts w:cstheme="minorHAnsi"/>
              <w:sz w:val="23"/>
              <w:szCs w:val="23"/>
            </w:rPr>
            <w:t>.</w:t>
          </w:r>
          <w:r w:rsidRPr="00406EBF">
            <w:rPr>
              <w:rFonts w:cstheme="minorHAnsi"/>
              <w:sz w:val="23"/>
              <w:szCs w:val="23"/>
            </w:rPr>
            <w:t xml:space="preserve"> Toutefois, aucun de ces textes ne s’applique aux ministres. </w:t>
          </w:r>
        </w:p>
        <w:p w14:paraId="4E88F178" w14:textId="77777777" w:rsidR="00A7080F" w:rsidRPr="00406EBF" w:rsidRDefault="00A7080F" w:rsidP="00A7080F">
          <w:pPr>
            <w:spacing w:line="240" w:lineRule="auto"/>
            <w:jc w:val="both"/>
            <w:rPr>
              <w:rFonts w:cstheme="minorHAnsi"/>
              <w:sz w:val="23"/>
              <w:szCs w:val="23"/>
            </w:rPr>
          </w:pPr>
        </w:p>
        <w:p w14:paraId="76A461D5" w14:textId="241056D4" w:rsidR="00A7080F" w:rsidRPr="00406EBF" w:rsidRDefault="00A7080F" w:rsidP="00A7080F">
          <w:pPr>
            <w:numPr>
              <w:ilvl w:val="0"/>
              <w:numId w:val="1"/>
            </w:numPr>
            <w:tabs>
              <w:tab w:val="left" w:pos="709"/>
            </w:tabs>
            <w:spacing w:line="240" w:lineRule="auto"/>
            <w:ind w:left="0" w:firstLine="0"/>
            <w:jc w:val="both"/>
            <w:rPr>
              <w:rFonts w:cstheme="minorHAnsi"/>
              <w:b/>
              <w:sz w:val="23"/>
              <w:szCs w:val="23"/>
            </w:rPr>
          </w:pPr>
          <w:r w:rsidRPr="00406EBF">
            <w:rPr>
              <w:rFonts w:cstheme="minorHAnsi"/>
              <w:sz w:val="23"/>
              <w:szCs w:val="23"/>
            </w:rPr>
            <w:t xml:space="preserve">Le </w:t>
          </w:r>
          <w:r w:rsidRPr="00406EBF">
            <w:rPr>
              <w:rFonts w:cstheme="minorHAnsi"/>
              <w:sz w:val="23"/>
              <w:szCs w:val="23"/>
              <w:u w:val="single"/>
            </w:rPr>
            <w:t>Code de déontologie des mandataires publics</w:t>
          </w:r>
          <w:r w:rsidRPr="00406EBF">
            <w:rPr>
              <w:rStyle w:val="Appelnotedebasdep"/>
              <w:rFonts w:cstheme="minorHAnsi"/>
              <w:sz w:val="23"/>
              <w:szCs w:val="23"/>
            </w:rPr>
            <w:footnoteReference w:id="16"/>
          </w:r>
          <w:r w:rsidRPr="00406EBF">
            <w:rPr>
              <w:rFonts w:cstheme="minorHAnsi"/>
              <w:sz w:val="23"/>
              <w:szCs w:val="23"/>
            </w:rPr>
            <w:t xml:space="preserve"> du 15 juillet 2018, qui figure en annexe de la loi du 6 janvier 2014, s’applique </w:t>
          </w:r>
          <w:r w:rsidR="00065CAC" w:rsidRPr="00406EBF">
            <w:rPr>
              <w:rFonts w:cstheme="minorHAnsi"/>
              <w:sz w:val="23"/>
              <w:szCs w:val="23"/>
            </w:rPr>
            <w:t xml:space="preserve">notamment aux chefs et chefs adjoints des </w:t>
          </w:r>
          <w:r w:rsidR="00B26E89" w:rsidRPr="00406EBF">
            <w:rPr>
              <w:rFonts w:cstheme="minorHAnsi"/>
              <w:sz w:val="23"/>
              <w:szCs w:val="23"/>
            </w:rPr>
            <w:t>organes</w:t>
          </w:r>
          <w:r w:rsidR="00065CAC" w:rsidRPr="00406EBF">
            <w:rPr>
              <w:rFonts w:cstheme="minorHAnsi"/>
              <w:sz w:val="23"/>
              <w:szCs w:val="23"/>
            </w:rPr>
            <w:t xml:space="preserve"> stratégiques d’un service </w:t>
          </w:r>
          <w:r w:rsidRPr="00406EBF">
            <w:rPr>
              <w:rFonts w:cstheme="minorHAnsi"/>
              <w:sz w:val="23"/>
              <w:szCs w:val="23"/>
            </w:rPr>
            <w:t>public fédéral</w:t>
          </w:r>
          <w:r w:rsidR="000C478B">
            <w:rPr>
              <w:rFonts w:cstheme="minorHAnsi"/>
              <w:sz w:val="23"/>
              <w:szCs w:val="23"/>
            </w:rPr>
            <w:t>, ainsi qu’aux directeurs</w:t>
          </w:r>
          <w:r w:rsidRPr="00406EBF">
            <w:rPr>
              <w:rFonts w:cstheme="minorHAnsi"/>
              <w:sz w:val="23"/>
              <w:szCs w:val="23"/>
            </w:rPr>
            <w:t>.</w:t>
          </w:r>
          <w:r w:rsidR="00406F32">
            <w:rPr>
              <w:rFonts w:cstheme="minorHAnsi"/>
              <w:sz w:val="23"/>
              <w:szCs w:val="23"/>
            </w:rPr>
            <w:t xml:space="preserve"> Il ne s’applique pas aux </w:t>
          </w:r>
          <w:r w:rsidR="00D852D3">
            <w:rPr>
              <w:rFonts w:cstheme="minorHAnsi"/>
              <w:sz w:val="23"/>
              <w:szCs w:val="23"/>
            </w:rPr>
            <w:t xml:space="preserve">autres </w:t>
          </w:r>
          <w:r w:rsidR="00406F32">
            <w:rPr>
              <w:rFonts w:cstheme="minorHAnsi"/>
              <w:sz w:val="23"/>
              <w:szCs w:val="23"/>
            </w:rPr>
            <w:t>membres des organes stratégiques.</w:t>
          </w:r>
          <w:r w:rsidRPr="00406EBF">
            <w:rPr>
              <w:rFonts w:cstheme="minorHAnsi"/>
              <w:sz w:val="23"/>
              <w:szCs w:val="23"/>
            </w:rPr>
            <w:t xml:space="preserve"> </w:t>
          </w:r>
        </w:p>
        <w:p w14:paraId="1B4A0F09" w14:textId="77777777" w:rsidR="00536E19" w:rsidRPr="00406EBF" w:rsidRDefault="00536E19" w:rsidP="00536E19">
          <w:pPr>
            <w:pStyle w:val="Paragraphedeliste"/>
            <w:rPr>
              <w:rFonts w:cstheme="minorHAnsi"/>
              <w:b/>
              <w:sz w:val="23"/>
              <w:szCs w:val="23"/>
            </w:rPr>
          </w:pPr>
        </w:p>
        <w:p w14:paraId="032F7A0E" w14:textId="14BF17BF" w:rsidR="00301451" w:rsidRPr="00406EBF" w:rsidRDefault="001D60AC" w:rsidP="005F7775">
          <w:pPr>
            <w:numPr>
              <w:ilvl w:val="0"/>
              <w:numId w:val="1"/>
            </w:numPr>
            <w:tabs>
              <w:tab w:val="left" w:pos="709"/>
            </w:tabs>
            <w:spacing w:line="240" w:lineRule="auto"/>
            <w:ind w:left="0" w:firstLine="0"/>
            <w:jc w:val="both"/>
            <w:rPr>
              <w:rFonts w:cstheme="minorHAnsi"/>
              <w:b/>
              <w:sz w:val="23"/>
              <w:szCs w:val="23"/>
            </w:rPr>
          </w:pPr>
          <w:r w:rsidRPr="00406EBF">
            <w:rPr>
              <w:rFonts w:cstheme="minorHAnsi"/>
              <w:sz w:val="23"/>
              <w:szCs w:val="23"/>
            </w:rPr>
            <w:t xml:space="preserve">L’absence d’un </w:t>
          </w:r>
          <w:r w:rsidR="00D37E76">
            <w:rPr>
              <w:rFonts w:cstheme="minorHAnsi"/>
              <w:sz w:val="23"/>
              <w:szCs w:val="23"/>
            </w:rPr>
            <w:t>code de</w:t>
          </w:r>
          <w:r w:rsidRPr="00406EBF">
            <w:rPr>
              <w:rFonts w:cstheme="minorHAnsi"/>
              <w:sz w:val="23"/>
              <w:szCs w:val="23"/>
            </w:rPr>
            <w:t xml:space="preserve"> déontologie applicable aux ministres et aux membres des </w:t>
          </w:r>
          <w:r w:rsidR="00B26E89" w:rsidRPr="00406EBF">
            <w:rPr>
              <w:rFonts w:cstheme="minorHAnsi"/>
              <w:sz w:val="23"/>
              <w:szCs w:val="23"/>
            </w:rPr>
            <w:t>organes</w:t>
          </w:r>
          <w:r w:rsidRPr="00406EBF">
            <w:rPr>
              <w:rFonts w:cstheme="minorHAnsi"/>
              <w:sz w:val="23"/>
              <w:szCs w:val="23"/>
            </w:rPr>
            <w:t xml:space="preserve"> stratégiques est une claire lacune, sans doute révélatrice de l’absence de priorité accordée aux questions d’intégrité des hauts responsables de l’exécutif en Belgique. L’élaboration d’un tel code est donc nécessaire</w:t>
          </w:r>
          <w:r w:rsidR="00301451" w:rsidRPr="00406EBF">
            <w:rPr>
              <w:rFonts w:cstheme="minorHAnsi"/>
              <w:sz w:val="23"/>
              <w:szCs w:val="23"/>
            </w:rPr>
            <w:t xml:space="preserve"> et pourra s’appuyer sur les résultats de l’analyse de risques recommandée ci-dessus</w:t>
          </w:r>
          <w:r w:rsidRPr="00406EBF">
            <w:rPr>
              <w:rFonts w:cstheme="minorHAnsi"/>
              <w:sz w:val="23"/>
              <w:szCs w:val="23"/>
            </w:rPr>
            <w:t>. Il devrait contenir notamment des règles relatives à la prévention et à la gestion des conflits d’intérêts, à l’acceptation de cadeaux, aux activités accessoires et intérêts financiers</w:t>
          </w:r>
          <w:r w:rsidR="00301451" w:rsidRPr="00406EBF">
            <w:rPr>
              <w:rFonts w:cstheme="minorHAnsi"/>
              <w:sz w:val="23"/>
              <w:szCs w:val="23"/>
            </w:rPr>
            <w:t>, aux</w:t>
          </w:r>
          <w:r w:rsidRPr="00406EBF">
            <w:rPr>
              <w:rFonts w:cstheme="minorHAnsi"/>
              <w:sz w:val="23"/>
              <w:szCs w:val="23"/>
            </w:rPr>
            <w:t xml:space="preserve"> relations avec les tiers, notamment les lobbyistes</w:t>
          </w:r>
          <w:r w:rsidR="00301451" w:rsidRPr="00406EBF">
            <w:rPr>
              <w:rFonts w:cstheme="minorHAnsi"/>
              <w:sz w:val="23"/>
              <w:szCs w:val="23"/>
            </w:rPr>
            <w:t xml:space="preserve"> et à la gestion d’informations confidentielles</w:t>
          </w:r>
          <w:r w:rsidRPr="00406EBF">
            <w:rPr>
              <w:rFonts w:cstheme="minorHAnsi"/>
              <w:sz w:val="23"/>
              <w:szCs w:val="23"/>
            </w:rPr>
            <w:t xml:space="preserve">. </w:t>
          </w:r>
          <w:r w:rsidR="00F76C26" w:rsidRPr="00406EBF">
            <w:rPr>
              <w:rFonts w:cstheme="minorHAnsi"/>
              <w:sz w:val="23"/>
              <w:szCs w:val="23"/>
            </w:rPr>
            <w:t>Des préconisations plus détaillées sur ces différentes questions figurent ci-dessous</w:t>
          </w:r>
          <w:r w:rsidR="00C44BE8">
            <w:rPr>
              <w:rStyle w:val="Appelnotedebasdep"/>
              <w:rFonts w:cstheme="minorHAnsi"/>
              <w:sz w:val="23"/>
              <w:szCs w:val="23"/>
            </w:rPr>
            <w:footnoteReference w:id="17"/>
          </w:r>
          <w:r w:rsidR="00F76C26" w:rsidRPr="00406EBF">
            <w:rPr>
              <w:rFonts w:cstheme="minorHAnsi"/>
              <w:sz w:val="23"/>
              <w:szCs w:val="23"/>
            </w:rPr>
            <w:t xml:space="preserve"> dans les sections pertinentes de ce rapport. </w:t>
          </w:r>
          <w:r w:rsidR="00301451" w:rsidRPr="00406EBF">
            <w:rPr>
              <w:rFonts w:cstheme="minorHAnsi"/>
              <w:sz w:val="23"/>
              <w:szCs w:val="23"/>
            </w:rPr>
            <w:t>Ce code devrait s’appuyer sur des exemples et contenir des explications détaillées. Son rôle serait double : encadrer l’activité des ministres et des membres des cellules stratégiques en matière d’intégrité et clarifier aux yeux du public ce que les citoyens sont en droit d’attendre des PHFE en qui ils placent leur confiance.</w:t>
          </w:r>
          <w:r w:rsidR="005C35A5" w:rsidRPr="00406EBF">
            <w:rPr>
              <w:rFonts w:cstheme="minorHAnsi"/>
              <w:sz w:val="23"/>
              <w:szCs w:val="23"/>
            </w:rPr>
            <w:t xml:space="preserve"> </w:t>
          </w:r>
          <w:r w:rsidR="00301451" w:rsidRPr="00406EBF">
            <w:rPr>
              <w:rFonts w:cstheme="minorHAnsi"/>
              <w:sz w:val="23"/>
              <w:szCs w:val="23"/>
            </w:rPr>
            <w:t>En outre, conformément à la pratique courante du GRECO, un tel code devrait être associé à un mécanisme de mise en œuvre, visant à s’assurer que les PHFE respectent les règles contenues dans le code et sont appelés à rendre des comptes dans le cas où ils ne le font pas</w:t>
          </w:r>
          <w:r w:rsidR="005C35A5" w:rsidRPr="00406EBF">
            <w:rPr>
              <w:rFonts w:cstheme="minorHAnsi"/>
              <w:sz w:val="23"/>
              <w:szCs w:val="23"/>
            </w:rPr>
            <w:t>.</w:t>
          </w:r>
        </w:p>
        <w:p w14:paraId="4F6A1DE3" w14:textId="77777777" w:rsidR="005C35A5" w:rsidRPr="00406EBF" w:rsidRDefault="005C35A5" w:rsidP="005C35A5">
          <w:pPr>
            <w:tabs>
              <w:tab w:val="left" w:pos="709"/>
            </w:tabs>
            <w:spacing w:line="240" w:lineRule="auto"/>
            <w:jc w:val="both"/>
            <w:rPr>
              <w:rFonts w:cstheme="minorHAnsi"/>
              <w:b/>
              <w:sz w:val="23"/>
              <w:szCs w:val="23"/>
            </w:rPr>
          </w:pPr>
        </w:p>
        <w:p w14:paraId="35096D27" w14:textId="59C34774" w:rsidR="005C35A5" w:rsidRPr="00406F32" w:rsidRDefault="005C35A5" w:rsidP="00406F32">
          <w:pPr>
            <w:numPr>
              <w:ilvl w:val="0"/>
              <w:numId w:val="1"/>
            </w:numPr>
            <w:tabs>
              <w:tab w:val="left" w:pos="709"/>
            </w:tabs>
            <w:spacing w:line="240" w:lineRule="auto"/>
            <w:ind w:left="0" w:firstLine="0"/>
            <w:jc w:val="both"/>
            <w:rPr>
              <w:rFonts w:cstheme="minorHAnsi"/>
              <w:b/>
              <w:sz w:val="23"/>
              <w:szCs w:val="23"/>
            </w:rPr>
          </w:pPr>
          <w:r w:rsidRPr="00406EBF">
            <w:rPr>
              <w:rFonts w:cstheme="minorHAnsi"/>
              <w:sz w:val="23"/>
              <w:szCs w:val="23"/>
            </w:rPr>
            <w:lastRenderedPageBreak/>
            <w:t xml:space="preserve">S’agissant des chefs et chefs adjoints des </w:t>
          </w:r>
          <w:r w:rsidR="00B26E89" w:rsidRPr="00406EBF">
            <w:rPr>
              <w:rFonts w:cstheme="minorHAnsi"/>
              <w:sz w:val="23"/>
              <w:szCs w:val="23"/>
            </w:rPr>
            <w:t>organes</w:t>
          </w:r>
          <w:r w:rsidRPr="00406EBF">
            <w:rPr>
              <w:rFonts w:cstheme="minorHAnsi"/>
              <w:sz w:val="23"/>
              <w:szCs w:val="23"/>
            </w:rPr>
            <w:t xml:space="preserve"> stratégiques</w:t>
          </w:r>
          <w:r w:rsidR="00B26E89" w:rsidRPr="00406EBF">
            <w:rPr>
              <w:rFonts w:cstheme="minorHAnsi"/>
              <w:sz w:val="23"/>
              <w:szCs w:val="23"/>
            </w:rPr>
            <w:t>/cabinets</w:t>
          </w:r>
          <w:r w:rsidRPr="00406EBF">
            <w:rPr>
              <w:rFonts w:cstheme="minorHAnsi"/>
              <w:sz w:val="23"/>
              <w:szCs w:val="23"/>
            </w:rPr>
            <w:t xml:space="preserve">, ainsi que </w:t>
          </w:r>
          <w:r w:rsidR="00406F32">
            <w:rPr>
              <w:rFonts w:cstheme="minorHAnsi"/>
              <w:sz w:val="23"/>
              <w:szCs w:val="23"/>
            </w:rPr>
            <w:t xml:space="preserve"> des </w:t>
          </w:r>
          <w:r w:rsidR="00D2597E">
            <w:rPr>
              <w:rFonts w:cstheme="minorHAnsi"/>
              <w:sz w:val="23"/>
              <w:szCs w:val="23"/>
            </w:rPr>
            <w:t>directeurs</w:t>
          </w:r>
          <w:r w:rsidR="00406F32">
            <w:rPr>
              <w:rFonts w:cstheme="minorHAnsi"/>
              <w:sz w:val="23"/>
              <w:szCs w:val="23"/>
            </w:rPr>
            <w:t xml:space="preserve">, </w:t>
          </w:r>
          <w:r w:rsidRPr="00406F32">
            <w:rPr>
              <w:rFonts w:cstheme="minorHAnsi"/>
              <w:sz w:val="23"/>
              <w:szCs w:val="23"/>
            </w:rPr>
            <w:t xml:space="preserve">l’EEG se félicite qu’ils soient soumis à des règles déontologiques. Il paraît donc logique d’appliquer aux </w:t>
          </w:r>
          <w:r w:rsidR="00406F32">
            <w:rPr>
              <w:rFonts w:cstheme="minorHAnsi"/>
              <w:sz w:val="23"/>
              <w:szCs w:val="23"/>
            </w:rPr>
            <w:t xml:space="preserve">autres </w:t>
          </w:r>
          <w:r w:rsidRPr="00406F32">
            <w:rPr>
              <w:rFonts w:cstheme="minorHAnsi"/>
              <w:sz w:val="23"/>
              <w:szCs w:val="23"/>
            </w:rPr>
            <w:t xml:space="preserve">membres des </w:t>
          </w:r>
          <w:r w:rsidR="00B26E89" w:rsidRPr="00406F32">
            <w:rPr>
              <w:rFonts w:cstheme="minorHAnsi"/>
              <w:sz w:val="23"/>
              <w:szCs w:val="23"/>
            </w:rPr>
            <w:t>organes</w:t>
          </w:r>
          <w:r w:rsidRPr="00406F32">
            <w:rPr>
              <w:rFonts w:cstheme="minorHAnsi"/>
              <w:sz w:val="23"/>
              <w:szCs w:val="23"/>
            </w:rPr>
            <w:t xml:space="preserve"> stratégiques des règles d’intégrité conçues pour les PHFE dans les situations où ils peuvent avoir une influence sur la prise de décision des ministres.</w:t>
          </w:r>
        </w:p>
        <w:p w14:paraId="45AD39EC" w14:textId="77777777" w:rsidR="005C35A5" w:rsidRPr="00406EBF" w:rsidRDefault="005C35A5" w:rsidP="005C35A5">
          <w:pPr>
            <w:pStyle w:val="Paragraphedeliste"/>
            <w:rPr>
              <w:rFonts w:cstheme="minorHAnsi"/>
              <w:b/>
              <w:sz w:val="23"/>
              <w:szCs w:val="23"/>
            </w:rPr>
          </w:pPr>
        </w:p>
        <w:p w14:paraId="2193FAE3" w14:textId="77777777" w:rsidR="005C35A5" w:rsidRPr="00406EBF" w:rsidRDefault="005C35A5" w:rsidP="005F7775">
          <w:pPr>
            <w:numPr>
              <w:ilvl w:val="0"/>
              <w:numId w:val="1"/>
            </w:numPr>
            <w:tabs>
              <w:tab w:val="left" w:pos="709"/>
            </w:tabs>
            <w:spacing w:line="240" w:lineRule="auto"/>
            <w:ind w:left="0" w:firstLine="0"/>
            <w:jc w:val="both"/>
            <w:rPr>
              <w:rFonts w:cstheme="minorHAnsi"/>
              <w:b/>
              <w:sz w:val="23"/>
              <w:szCs w:val="23"/>
            </w:rPr>
          </w:pPr>
          <w:r w:rsidRPr="00406EBF">
            <w:rPr>
              <w:rFonts w:cstheme="minorHAnsi"/>
              <w:sz w:val="23"/>
              <w:szCs w:val="23"/>
            </w:rPr>
            <w:t xml:space="preserve">Par conséquent, </w:t>
          </w:r>
          <w:r w:rsidRPr="00406EBF">
            <w:rPr>
              <w:rFonts w:cstheme="minorHAnsi"/>
              <w:b/>
              <w:sz w:val="23"/>
              <w:szCs w:val="23"/>
            </w:rPr>
            <w:t xml:space="preserve">le GRECO recommande </w:t>
          </w:r>
          <w:bookmarkStart w:id="35" w:name="_Hlk26528504"/>
          <w:r w:rsidRPr="00406EBF">
            <w:rPr>
              <w:rFonts w:cstheme="minorHAnsi"/>
              <w:b/>
              <w:sz w:val="23"/>
              <w:szCs w:val="23"/>
            </w:rPr>
            <w:t xml:space="preserve">(i) d’adopter un </w:t>
          </w:r>
          <w:r w:rsidR="00D37E76">
            <w:rPr>
              <w:rFonts w:cstheme="minorHAnsi"/>
              <w:b/>
              <w:sz w:val="23"/>
              <w:szCs w:val="23"/>
            </w:rPr>
            <w:t>code de</w:t>
          </w:r>
          <w:r w:rsidRPr="00406EBF">
            <w:rPr>
              <w:rFonts w:cstheme="minorHAnsi"/>
              <w:b/>
              <w:sz w:val="23"/>
              <w:szCs w:val="23"/>
            </w:rPr>
            <w:t xml:space="preserve"> déontologie à l’intention des ministres et de s’assurer que les membres des organes stratégiques</w:t>
          </w:r>
          <w:r w:rsidR="00B26E89" w:rsidRPr="00406EBF">
            <w:rPr>
              <w:rFonts w:cstheme="minorHAnsi"/>
              <w:b/>
              <w:sz w:val="23"/>
              <w:szCs w:val="23"/>
            </w:rPr>
            <w:t>/cabinets</w:t>
          </w:r>
          <w:r w:rsidRPr="00406EBF">
            <w:rPr>
              <w:rFonts w:cstheme="minorHAnsi"/>
              <w:b/>
              <w:sz w:val="23"/>
              <w:szCs w:val="23"/>
            </w:rPr>
            <w:t xml:space="preserve"> bénéficient d’un cadre déontologique clair et harmonisé et (ii) que ce</w:t>
          </w:r>
          <w:r w:rsidR="00D37E76">
            <w:rPr>
              <w:rFonts w:cstheme="minorHAnsi"/>
              <w:b/>
              <w:sz w:val="23"/>
              <w:szCs w:val="23"/>
            </w:rPr>
            <w:t>/ces</w:t>
          </w:r>
          <w:r w:rsidRPr="00406EBF">
            <w:rPr>
              <w:rFonts w:cstheme="minorHAnsi"/>
              <w:b/>
              <w:sz w:val="23"/>
              <w:szCs w:val="23"/>
            </w:rPr>
            <w:t xml:space="preserve"> c</w:t>
          </w:r>
          <w:r w:rsidR="00D37E76">
            <w:rPr>
              <w:rFonts w:cstheme="minorHAnsi"/>
              <w:b/>
              <w:sz w:val="23"/>
              <w:szCs w:val="23"/>
            </w:rPr>
            <w:t>ode(s)</w:t>
          </w:r>
          <w:r w:rsidRPr="00406EBF">
            <w:rPr>
              <w:rFonts w:cstheme="minorHAnsi"/>
              <w:b/>
              <w:sz w:val="23"/>
              <w:szCs w:val="23"/>
            </w:rPr>
            <w:t xml:space="preserve"> soi</w:t>
          </w:r>
          <w:r w:rsidR="00D37E76">
            <w:rPr>
              <w:rFonts w:cstheme="minorHAnsi"/>
              <w:b/>
              <w:sz w:val="23"/>
              <w:szCs w:val="23"/>
            </w:rPr>
            <w:t>(en)</w:t>
          </w:r>
          <w:r w:rsidRPr="00406EBF">
            <w:rPr>
              <w:rFonts w:cstheme="minorHAnsi"/>
              <w:b/>
              <w:sz w:val="23"/>
              <w:szCs w:val="23"/>
            </w:rPr>
            <w:t>t assorti</w:t>
          </w:r>
          <w:r w:rsidR="00D37E76">
            <w:rPr>
              <w:rFonts w:cstheme="minorHAnsi"/>
              <w:b/>
              <w:sz w:val="23"/>
              <w:szCs w:val="23"/>
            </w:rPr>
            <w:t>(s)</w:t>
          </w:r>
          <w:r w:rsidRPr="00406EBF">
            <w:rPr>
              <w:rFonts w:cstheme="minorHAnsi"/>
              <w:b/>
              <w:sz w:val="23"/>
              <w:szCs w:val="23"/>
            </w:rPr>
            <w:t xml:space="preserve"> d’un mécanisme de sup</w:t>
          </w:r>
          <w:r w:rsidR="00A55BB0" w:rsidRPr="00406EBF">
            <w:rPr>
              <w:rFonts w:cstheme="minorHAnsi"/>
              <w:b/>
              <w:sz w:val="23"/>
              <w:szCs w:val="23"/>
            </w:rPr>
            <w:t>ervision et de sanction</w:t>
          </w:r>
          <w:bookmarkEnd w:id="35"/>
          <w:r w:rsidR="00A55BB0" w:rsidRPr="00406EBF">
            <w:rPr>
              <w:rFonts w:cstheme="minorHAnsi"/>
              <w:b/>
              <w:sz w:val="23"/>
              <w:szCs w:val="23"/>
            </w:rPr>
            <w:t>.</w:t>
          </w:r>
        </w:p>
        <w:p w14:paraId="450C9C5F" w14:textId="77777777" w:rsidR="00A7080F" w:rsidRPr="00406EBF" w:rsidRDefault="00A7080F" w:rsidP="00A7080F">
          <w:pPr>
            <w:pStyle w:val="Paragraphedeliste"/>
            <w:rPr>
              <w:rFonts w:cstheme="minorHAnsi"/>
              <w:sz w:val="23"/>
              <w:szCs w:val="23"/>
            </w:rPr>
          </w:pPr>
        </w:p>
        <w:p w14:paraId="0FD7D469"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36" w:name="_Toc2777385"/>
          <w:bookmarkStart w:id="37" w:name="_Toc21339559"/>
          <w:r w:rsidRPr="00406EBF">
            <w:rPr>
              <w:rFonts w:asciiTheme="minorHAnsi" w:hAnsiTheme="minorHAnsi" w:cstheme="minorHAnsi"/>
              <w:b w:val="0"/>
              <w:i/>
              <w:color w:val="auto"/>
              <w:sz w:val="23"/>
              <w:szCs w:val="23"/>
            </w:rPr>
            <w:t>Sensibilisation</w:t>
          </w:r>
          <w:bookmarkEnd w:id="36"/>
          <w:bookmarkEnd w:id="37"/>
        </w:p>
        <w:p w14:paraId="65FC8933" w14:textId="77777777" w:rsidR="00612B1E" w:rsidRPr="00406EBF" w:rsidRDefault="00612B1E" w:rsidP="001878CC">
          <w:pPr>
            <w:spacing w:line="240" w:lineRule="auto"/>
            <w:jc w:val="both"/>
            <w:rPr>
              <w:i/>
              <w:sz w:val="23"/>
              <w:szCs w:val="23"/>
            </w:rPr>
          </w:pPr>
        </w:p>
        <w:p w14:paraId="24284731" w14:textId="77777777" w:rsidR="005C025B" w:rsidRPr="00406EBF" w:rsidRDefault="005C025B" w:rsidP="00602D1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Il n’existe pas de dispositif ou d’activités spécifiques de sensibilisation des PHFE aux questions de déontologie. </w:t>
          </w:r>
        </w:p>
        <w:p w14:paraId="383FD83A" w14:textId="77777777" w:rsidR="005C025B" w:rsidRPr="00406EBF" w:rsidRDefault="005C025B" w:rsidP="005C025B">
          <w:pPr>
            <w:tabs>
              <w:tab w:val="left" w:pos="709"/>
            </w:tabs>
            <w:spacing w:line="240" w:lineRule="auto"/>
            <w:jc w:val="both"/>
            <w:rPr>
              <w:rFonts w:cstheme="minorHAnsi"/>
              <w:sz w:val="23"/>
              <w:szCs w:val="23"/>
            </w:rPr>
          </w:pPr>
        </w:p>
        <w:p w14:paraId="0456F01B" w14:textId="77777777" w:rsidR="00E638DF" w:rsidRPr="00406EBF" w:rsidRDefault="00860F74" w:rsidP="00602D1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w:t>
          </w:r>
          <w:r w:rsidRPr="00406EBF">
            <w:rPr>
              <w:rFonts w:cstheme="minorHAnsi"/>
              <w:sz w:val="23"/>
              <w:szCs w:val="23"/>
              <w:u w:val="single"/>
            </w:rPr>
            <w:t>Bureau d’éthique et de déontologie administratives</w:t>
          </w:r>
          <w:r w:rsidRPr="00406EBF">
            <w:rPr>
              <w:rFonts w:cstheme="minorHAnsi"/>
              <w:sz w:val="23"/>
              <w:szCs w:val="23"/>
            </w:rPr>
            <w:t xml:space="preserve"> (BEDA) </w:t>
          </w:r>
          <w:r w:rsidR="00602D1B" w:rsidRPr="00406EBF">
            <w:rPr>
              <w:rFonts w:cstheme="minorHAnsi"/>
              <w:sz w:val="23"/>
              <w:szCs w:val="23"/>
            </w:rPr>
            <w:t xml:space="preserve">est chargé d’assurer le contrôle préventif de l’intégrité au sein des pouvoirs publics fédéraux. Il dispose de différents outils de sensibilisation à l’intégrité (ateliers autour de cas concrets, module de e-learning, consultation sur des problématiques relatives aux cumuls d’intérêts et de cumul de fonction), mais son activité s’adresse aux fonctionnaires et non aux PHFE. </w:t>
          </w:r>
        </w:p>
        <w:p w14:paraId="1645F6C8" w14:textId="77777777" w:rsidR="005C35A5" w:rsidRPr="00406EBF" w:rsidRDefault="005C35A5" w:rsidP="005C35A5">
          <w:pPr>
            <w:spacing w:line="240" w:lineRule="auto"/>
            <w:jc w:val="both"/>
            <w:rPr>
              <w:rFonts w:cstheme="minorHAnsi"/>
              <w:sz w:val="23"/>
              <w:szCs w:val="23"/>
            </w:rPr>
          </w:pPr>
        </w:p>
        <w:p w14:paraId="15190843" w14:textId="566D3BB2" w:rsidR="00602D1B" w:rsidRPr="00406EBF" w:rsidRDefault="00602D1B" w:rsidP="00602D1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w:t>
          </w:r>
          <w:r w:rsidR="00177A66" w:rsidRPr="00406EBF">
            <w:rPr>
              <w:rFonts w:cstheme="minorHAnsi"/>
              <w:sz w:val="23"/>
              <w:szCs w:val="23"/>
              <w:u w:val="single"/>
            </w:rPr>
            <w:t>Commission fédérale de déontologie</w:t>
          </w:r>
          <w:r w:rsidRPr="00406EBF">
            <w:rPr>
              <w:rStyle w:val="Appelnotedebasdep"/>
              <w:rFonts w:cstheme="minorHAnsi"/>
              <w:sz w:val="23"/>
              <w:szCs w:val="23"/>
              <w:u w:val="single"/>
            </w:rPr>
            <w:footnoteReference w:id="18"/>
          </w:r>
          <w:r w:rsidRPr="00406EBF">
            <w:rPr>
              <w:rFonts w:cstheme="minorHAnsi"/>
              <w:sz w:val="23"/>
              <w:szCs w:val="23"/>
            </w:rPr>
            <w:t xml:space="preserve"> a été créée par la loi précitée du 6 janvier 2014. </w:t>
          </w:r>
          <w:r w:rsidR="000F5703" w:rsidRPr="00406EBF">
            <w:rPr>
              <w:rFonts w:cstheme="minorHAnsi"/>
              <w:sz w:val="23"/>
              <w:szCs w:val="23"/>
            </w:rPr>
            <w:t xml:space="preserve">Elle est composée de douze membres, qui sont d’anciens magistrats, professeurs d’université, anciens membres du parlement ou anciens mandataires publics. </w:t>
          </w:r>
          <w:r w:rsidRPr="00406EBF">
            <w:rPr>
              <w:rFonts w:cstheme="minorHAnsi"/>
              <w:sz w:val="23"/>
              <w:szCs w:val="23"/>
            </w:rPr>
            <w:t>C’est un organe permanent relevant de la Chambre des représentants</w:t>
          </w:r>
          <w:r w:rsidR="00406F32">
            <w:rPr>
              <w:rFonts w:cstheme="minorHAnsi"/>
              <w:sz w:val="23"/>
              <w:szCs w:val="23"/>
            </w:rPr>
            <w:t xml:space="preserve"> qui, pour assurer son indépendance, bénéficie d’une dotation budgétaire propre. Elle est</w:t>
          </w:r>
          <w:r w:rsidRPr="00406EBF">
            <w:rPr>
              <w:rFonts w:cstheme="minorHAnsi"/>
              <w:sz w:val="23"/>
              <w:szCs w:val="23"/>
            </w:rPr>
            <w:t xml:space="preserve"> chargé</w:t>
          </w:r>
          <w:r w:rsidR="00406F32">
            <w:rPr>
              <w:rFonts w:cstheme="minorHAnsi"/>
              <w:sz w:val="23"/>
              <w:szCs w:val="23"/>
            </w:rPr>
            <w:t>e</w:t>
          </w:r>
          <w:r w:rsidRPr="00406EBF">
            <w:rPr>
              <w:rFonts w:cstheme="minorHAnsi"/>
              <w:sz w:val="23"/>
              <w:szCs w:val="23"/>
            </w:rPr>
            <w:t xml:space="preserve"> de rendre, sur des questions déontologiques, des avis confidentiels, à la demande d’un mandataire public, </w:t>
          </w:r>
          <w:r w:rsidR="00CE43EC" w:rsidRPr="00406EBF">
            <w:rPr>
              <w:rFonts w:cstheme="minorHAnsi"/>
              <w:sz w:val="23"/>
              <w:szCs w:val="23"/>
            </w:rPr>
            <w:t xml:space="preserve">ou </w:t>
          </w:r>
          <w:r w:rsidRPr="00406EBF">
            <w:rPr>
              <w:rFonts w:cstheme="minorHAnsi"/>
              <w:sz w:val="23"/>
              <w:szCs w:val="23"/>
            </w:rPr>
            <w:t>des avis et recommandations à caractère général, d’initiative ou à la demande de la Chambre, du Sénat ou du gouvernement</w:t>
          </w:r>
          <w:r w:rsidR="000F5703" w:rsidRPr="00406EBF">
            <w:rPr>
              <w:rStyle w:val="Appelnotedebasdep"/>
              <w:rFonts w:cstheme="minorHAnsi"/>
              <w:sz w:val="23"/>
              <w:szCs w:val="23"/>
            </w:rPr>
            <w:footnoteReference w:id="19"/>
          </w:r>
          <w:r w:rsidRPr="00406EBF">
            <w:rPr>
              <w:rFonts w:cstheme="minorHAnsi"/>
              <w:sz w:val="23"/>
              <w:szCs w:val="23"/>
            </w:rPr>
            <w:t xml:space="preserve">. </w:t>
          </w:r>
          <w:r w:rsidR="00CE43EC" w:rsidRPr="00406EBF">
            <w:rPr>
              <w:rFonts w:cstheme="minorHAnsi"/>
              <w:sz w:val="23"/>
              <w:szCs w:val="23"/>
            </w:rPr>
            <w:t>Les chefs et chefs adjoints des organes stratégiques</w:t>
          </w:r>
          <w:r w:rsidR="00406F32">
            <w:rPr>
              <w:rFonts w:cstheme="minorHAnsi"/>
              <w:sz w:val="23"/>
              <w:szCs w:val="23"/>
            </w:rPr>
            <w:t xml:space="preserve"> ainsi que les </w:t>
          </w:r>
          <w:r w:rsidR="00D2597E">
            <w:rPr>
              <w:rFonts w:cstheme="minorHAnsi"/>
              <w:sz w:val="23"/>
              <w:szCs w:val="23"/>
            </w:rPr>
            <w:t xml:space="preserve">directeurs </w:t>
          </w:r>
          <w:r w:rsidR="00CE43EC" w:rsidRPr="00406EBF">
            <w:rPr>
              <w:rFonts w:cstheme="minorHAnsi"/>
              <w:sz w:val="23"/>
              <w:szCs w:val="23"/>
            </w:rPr>
            <w:t xml:space="preserve">entrent dans la définition des mandataires publics. </w:t>
          </w:r>
          <w:r w:rsidR="000F5703" w:rsidRPr="00406EBF">
            <w:rPr>
              <w:rFonts w:cstheme="minorHAnsi"/>
              <w:sz w:val="23"/>
              <w:szCs w:val="23"/>
            </w:rPr>
            <w:t>Depuis août 2018, elle</w:t>
          </w:r>
          <w:r w:rsidRPr="00406EBF">
            <w:rPr>
              <w:rFonts w:cstheme="minorHAnsi"/>
              <w:sz w:val="23"/>
              <w:szCs w:val="23"/>
            </w:rPr>
            <w:t xml:space="preserve"> peut également rendre des avis confidentiels à la demande d’un ministre ou d’un secrétaire d’État.</w:t>
          </w:r>
          <w:r w:rsidR="000F5703" w:rsidRPr="00406EBF">
            <w:rPr>
              <w:rFonts w:cstheme="minorHAnsi"/>
              <w:sz w:val="23"/>
              <w:szCs w:val="23"/>
            </w:rPr>
            <w:t xml:space="preserve"> Elle n’a rendu jusqu’à présent que quelques avis</w:t>
          </w:r>
          <w:r w:rsidR="00406F32">
            <w:rPr>
              <w:rFonts w:cstheme="minorHAnsi"/>
              <w:sz w:val="23"/>
              <w:szCs w:val="23"/>
            </w:rPr>
            <w:t xml:space="preserve"> individuels confidentiels</w:t>
          </w:r>
          <w:r w:rsidR="000F5703" w:rsidRPr="00406EBF">
            <w:rPr>
              <w:rFonts w:cstheme="minorHAnsi"/>
              <w:sz w:val="23"/>
              <w:szCs w:val="23"/>
            </w:rPr>
            <w:t xml:space="preserve">, </w:t>
          </w:r>
          <w:r w:rsidR="00406F32">
            <w:rPr>
              <w:rFonts w:cstheme="minorHAnsi"/>
              <w:sz w:val="23"/>
              <w:szCs w:val="23"/>
            </w:rPr>
            <w:t>surtout</w:t>
          </w:r>
          <w:r w:rsidR="000F5703" w:rsidRPr="00406EBF">
            <w:rPr>
              <w:rFonts w:cstheme="minorHAnsi"/>
              <w:sz w:val="23"/>
              <w:szCs w:val="23"/>
            </w:rPr>
            <w:t xml:space="preserve"> aux membres des assemblées fédérales</w:t>
          </w:r>
          <w:r w:rsidR="00406F32">
            <w:rPr>
              <w:rFonts w:cstheme="minorHAnsi"/>
              <w:sz w:val="23"/>
              <w:szCs w:val="23"/>
            </w:rPr>
            <w:t>, mais également au directeur du secrétariat d’un ministre</w:t>
          </w:r>
          <w:r w:rsidR="00406F32">
            <w:rPr>
              <w:rStyle w:val="Appelnotedebasdep"/>
              <w:rFonts w:cstheme="minorHAnsi"/>
              <w:sz w:val="23"/>
              <w:szCs w:val="23"/>
            </w:rPr>
            <w:footnoteReference w:id="20"/>
          </w:r>
          <w:r w:rsidR="000F5703" w:rsidRPr="00406EBF">
            <w:rPr>
              <w:rFonts w:cstheme="minorHAnsi"/>
              <w:sz w:val="23"/>
              <w:szCs w:val="23"/>
            </w:rPr>
            <w:t>.</w:t>
          </w:r>
          <w:r w:rsidR="005C025B" w:rsidRPr="00406EBF">
            <w:rPr>
              <w:rFonts w:cstheme="minorHAnsi"/>
              <w:sz w:val="23"/>
              <w:szCs w:val="23"/>
            </w:rPr>
            <w:t xml:space="preserve"> Elle a également organisé en 2019 une campagne d’information à l’égard des personnes assujetties au Code de déontologie des mandataires publics, parmi lesquels les chefs et chefs adjoints des organes stratégiques</w:t>
          </w:r>
          <w:r w:rsidR="00D77E31">
            <w:rPr>
              <w:rFonts w:cstheme="minorHAnsi"/>
              <w:sz w:val="23"/>
              <w:szCs w:val="23"/>
            </w:rPr>
            <w:t xml:space="preserve">, ainsi que les </w:t>
          </w:r>
          <w:r w:rsidR="00D2597E">
            <w:rPr>
              <w:rFonts w:cstheme="minorHAnsi"/>
              <w:sz w:val="23"/>
              <w:szCs w:val="23"/>
            </w:rPr>
            <w:t>directeurs</w:t>
          </w:r>
          <w:r w:rsidR="005C025B" w:rsidRPr="00406EBF">
            <w:rPr>
              <w:rFonts w:cstheme="minorHAnsi"/>
              <w:sz w:val="23"/>
              <w:szCs w:val="23"/>
            </w:rPr>
            <w:t>.</w:t>
          </w:r>
        </w:p>
        <w:p w14:paraId="7C5EAF41" w14:textId="77777777" w:rsidR="000F5703" w:rsidRPr="00406EBF" w:rsidRDefault="000F5703" w:rsidP="000F5703">
          <w:pPr>
            <w:pStyle w:val="Paragraphedeliste"/>
            <w:rPr>
              <w:rFonts w:cstheme="minorHAnsi"/>
              <w:sz w:val="23"/>
              <w:szCs w:val="23"/>
            </w:rPr>
          </w:pPr>
        </w:p>
        <w:p w14:paraId="5776444D" w14:textId="4D5B25D4" w:rsidR="000F5703" w:rsidRPr="00406EBF" w:rsidRDefault="005C025B" w:rsidP="00602D1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L’EEG salue l’activité de la Commission fédérale de déontologie et sa nouvelle compétence de délivrance d’avis confidentiels à la demande de ministres et secrétaires d’Etat. Elle note toutefois que ces personnes n’ont pas fait encore appel à elle. </w:t>
          </w:r>
          <w:r w:rsidR="00D77E31">
            <w:rPr>
              <w:rFonts w:cstheme="minorHAnsi"/>
              <w:sz w:val="23"/>
              <w:szCs w:val="23"/>
            </w:rPr>
            <w:t>Certains des</w:t>
          </w:r>
          <w:r w:rsidR="00D77E31" w:rsidRPr="00406EBF">
            <w:rPr>
              <w:rFonts w:cstheme="minorHAnsi"/>
              <w:sz w:val="23"/>
              <w:szCs w:val="23"/>
            </w:rPr>
            <w:t xml:space="preserve"> </w:t>
          </w:r>
          <w:r w:rsidR="00CE43EC" w:rsidRPr="00406EBF">
            <w:rPr>
              <w:rFonts w:cstheme="minorHAnsi"/>
              <w:sz w:val="23"/>
              <w:szCs w:val="23"/>
            </w:rPr>
            <w:t xml:space="preserve">membres des organes stratégiques, cependant, n’ont pas accès à un tel mécanisme de conseil confidentiel. Quant aux avis généraux de la Commission, ils valent </w:t>
          </w:r>
          <w:r w:rsidR="00687701">
            <w:rPr>
              <w:rFonts w:cstheme="minorHAnsi"/>
              <w:sz w:val="23"/>
              <w:szCs w:val="23"/>
            </w:rPr>
            <w:t>seulement</w:t>
          </w:r>
          <w:r w:rsidR="00687701" w:rsidRPr="00406EBF">
            <w:rPr>
              <w:rFonts w:cstheme="minorHAnsi"/>
              <w:sz w:val="23"/>
              <w:szCs w:val="23"/>
            </w:rPr>
            <w:t xml:space="preserve"> </w:t>
          </w:r>
          <w:r w:rsidR="00CE43EC" w:rsidRPr="00406EBF">
            <w:rPr>
              <w:rFonts w:cstheme="minorHAnsi"/>
              <w:sz w:val="23"/>
              <w:szCs w:val="23"/>
            </w:rPr>
            <w:t>pour les PHFE</w:t>
          </w:r>
          <w:r w:rsidR="00687701">
            <w:rPr>
              <w:rFonts w:cstheme="minorHAnsi"/>
              <w:sz w:val="23"/>
              <w:szCs w:val="23"/>
            </w:rPr>
            <w:t xml:space="preserve"> soumises au Code de déontologie des mandataires publics</w:t>
          </w:r>
          <w:r w:rsidR="00CE43EC" w:rsidRPr="00406EBF">
            <w:rPr>
              <w:rFonts w:cstheme="minorHAnsi"/>
              <w:sz w:val="23"/>
              <w:szCs w:val="23"/>
            </w:rPr>
            <w:t xml:space="preserve">. A la lumière de la recommandation d’instauration d’un cadre déontologique pour les PHFE, l’instauration d’un mécanisme de sensibilisation propre au gouvernement pourrait utilement être examinée par les autorités belges. Par conséquent, </w:t>
          </w:r>
          <w:r w:rsidR="00CE43EC" w:rsidRPr="00406EBF">
            <w:rPr>
              <w:rFonts w:cstheme="minorHAnsi"/>
              <w:b/>
              <w:sz w:val="23"/>
              <w:szCs w:val="23"/>
            </w:rPr>
            <w:t xml:space="preserve">le </w:t>
          </w:r>
          <w:r w:rsidR="00CE43EC" w:rsidRPr="00406EBF">
            <w:rPr>
              <w:rFonts w:cstheme="minorHAnsi"/>
              <w:b/>
              <w:sz w:val="23"/>
              <w:szCs w:val="23"/>
            </w:rPr>
            <w:lastRenderedPageBreak/>
            <w:t>GRECO recommande</w:t>
          </w:r>
          <w:r w:rsidR="00A05BEB">
            <w:rPr>
              <w:rFonts w:cstheme="minorHAnsi"/>
              <w:b/>
              <w:sz w:val="23"/>
              <w:szCs w:val="23"/>
            </w:rPr>
            <w:t xml:space="preserve"> </w:t>
          </w:r>
          <w:bookmarkStart w:id="38" w:name="_Hlk26528524"/>
          <w:r w:rsidR="00A05BEB">
            <w:rPr>
              <w:rFonts w:cstheme="minorHAnsi"/>
              <w:b/>
              <w:sz w:val="23"/>
              <w:szCs w:val="23"/>
            </w:rPr>
            <w:t>(i)</w:t>
          </w:r>
          <w:r w:rsidR="00CE43EC" w:rsidRPr="00406EBF">
            <w:rPr>
              <w:rFonts w:cstheme="minorHAnsi"/>
              <w:b/>
              <w:sz w:val="23"/>
              <w:szCs w:val="23"/>
            </w:rPr>
            <w:t xml:space="preserve"> de s’assurer que </w:t>
          </w:r>
          <w:r w:rsidR="007317DF">
            <w:rPr>
              <w:rFonts w:cstheme="minorHAnsi"/>
              <w:b/>
              <w:sz w:val="23"/>
              <w:szCs w:val="23"/>
            </w:rPr>
            <w:t xml:space="preserve">toutes </w:t>
          </w:r>
          <w:r w:rsidR="00CE43EC" w:rsidRPr="00406EBF">
            <w:rPr>
              <w:rFonts w:cstheme="minorHAnsi"/>
              <w:b/>
              <w:sz w:val="23"/>
              <w:szCs w:val="23"/>
            </w:rPr>
            <w:t xml:space="preserve">les personnes chargées de hautes fonctions de l’exécutif aient accès à un mécanisme de promotion </w:t>
          </w:r>
          <w:r w:rsidR="005A64BC" w:rsidRPr="00406EBF">
            <w:rPr>
              <w:rFonts w:cstheme="minorHAnsi"/>
              <w:b/>
              <w:sz w:val="23"/>
              <w:szCs w:val="23"/>
            </w:rPr>
            <w:t>et de sensibilisation à l’intégrité comprenant un conseil confidentiel</w:t>
          </w:r>
          <w:r w:rsidR="00A05BEB">
            <w:rPr>
              <w:rFonts w:cstheme="minorHAnsi"/>
              <w:b/>
              <w:sz w:val="23"/>
              <w:szCs w:val="23"/>
            </w:rPr>
            <w:t> ; (ii) que ces personnes bénéficient d’</w:t>
          </w:r>
          <w:r w:rsidR="00D37E76">
            <w:rPr>
              <w:rFonts w:cstheme="minorHAnsi"/>
              <w:b/>
              <w:sz w:val="23"/>
              <w:szCs w:val="23"/>
            </w:rPr>
            <w:t xml:space="preserve">une </w:t>
          </w:r>
          <w:r w:rsidR="005A64BC" w:rsidRPr="00406EBF">
            <w:rPr>
              <w:rFonts w:cstheme="minorHAnsi"/>
              <w:b/>
              <w:sz w:val="23"/>
              <w:szCs w:val="23"/>
            </w:rPr>
            <w:t>formation dès leur prise de fonction et à intervalles réguliers par la suite</w:t>
          </w:r>
          <w:bookmarkEnd w:id="38"/>
          <w:r w:rsidR="005A64BC" w:rsidRPr="00406EBF">
            <w:rPr>
              <w:rFonts w:cstheme="minorHAnsi"/>
              <w:b/>
              <w:sz w:val="23"/>
              <w:szCs w:val="23"/>
            </w:rPr>
            <w:t>.</w:t>
          </w:r>
        </w:p>
        <w:p w14:paraId="6F272931" w14:textId="77777777" w:rsidR="005A64BC" w:rsidRPr="00406EBF" w:rsidRDefault="005A64BC" w:rsidP="001878CC">
          <w:pPr>
            <w:pStyle w:val="Titre2"/>
            <w:keepLines w:val="0"/>
            <w:tabs>
              <w:tab w:val="left" w:pos="709"/>
            </w:tabs>
            <w:spacing w:before="0" w:line="240" w:lineRule="auto"/>
            <w:rPr>
              <w:rFonts w:asciiTheme="minorHAnsi" w:hAnsiTheme="minorHAnsi"/>
              <w:color w:val="auto"/>
              <w:sz w:val="23"/>
              <w:szCs w:val="23"/>
              <w:u w:val="single"/>
            </w:rPr>
          </w:pPr>
          <w:bookmarkStart w:id="39" w:name="_Toc2777386"/>
        </w:p>
        <w:p w14:paraId="4C643A3B" w14:textId="77777777" w:rsidR="006608FA" w:rsidRPr="00406EBF" w:rsidRDefault="006608FA" w:rsidP="001878CC">
          <w:pPr>
            <w:pStyle w:val="Titre2"/>
            <w:keepLines w:val="0"/>
            <w:tabs>
              <w:tab w:val="left" w:pos="709"/>
            </w:tabs>
            <w:spacing w:before="0" w:line="240" w:lineRule="auto"/>
            <w:rPr>
              <w:rFonts w:asciiTheme="minorHAnsi" w:hAnsiTheme="minorHAnsi"/>
              <w:color w:val="auto"/>
              <w:sz w:val="23"/>
              <w:szCs w:val="23"/>
              <w:u w:val="single"/>
            </w:rPr>
          </w:pPr>
          <w:bookmarkStart w:id="40" w:name="_Toc21339560"/>
          <w:r w:rsidRPr="00406EBF">
            <w:rPr>
              <w:rFonts w:asciiTheme="minorHAnsi" w:hAnsiTheme="minorHAnsi"/>
              <w:color w:val="auto"/>
              <w:sz w:val="23"/>
              <w:szCs w:val="23"/>
              <w:u w:val="single"/>
            </w:rPr>
            <w:t>Transparence et contrôle des activités du gouvernement relevant de l’exécutif</w:t>
          </w:r>
          <w:bookmarkEnd w:id="39"/>
          <w:bookmarkEnd w:id="40"/>
        </w:p>
        <w:p w14:paraId="3C1AC5F8" w14:textId="77777777" w:rsidR="006608FA" w:rsidRPr="00406EBF" w:rsidRDefault="006608FA" w:rsidP="001878CC">
          <w:pPr>
            <w:keepNext/>
            <w:tabs>
              <w:tab w:val="left" w:pos="709"/>
            </w:tabs>
            <w:spacing w:line="240" w:lineRule="auto"/>
            <w:jc w:val="both"/>
            <w:rPr>
              <w:rFonts w:cstheme="minorHAnsi"/>
              <w:sz w:val="23"/>
              <w:szCs w:val="23"/>
            </w:rPr>
          </w:pPr>
        </w:p>
        <w:p w14:paraId="6A29A172"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41" w:name="_Toc2777387"/>
          <w:bookmarkStart w:id="42" w:name="_Toc21339561"/>
          <w:r w:rsidRPr="00406EBF">
            <w:rPr>
              <w:rFonts w:asciiTheme="minorHAnsi" w:hAnsiTheme="minorHAnsi" w:cstheme="minorHAnsi"/>
              <w:b w:val="0"/>
              <w:i/>
              <w:color w:val="auto"/>
              <w:sz w:val="23"/>
              <w:szCs w:val="23"/>
            </w:rPr>
            <w:t>Accès aux informations</w:t>
          </w:r>
          <w:bookmarkEnd w:id="41"/>
          <w:bookmarkEnd w:id="42"/>
        </w:p>
        <w:p w14:paraId="5A2370E6" w14:textId="77777777" w:rsidR="006608FA" w:rsidRPr="00406EBF" w:rsidRDefault="006608FA" w:rsidP="001878CC">
          <w:pPr>
            <w:keepNext/>
            <w:tabs>
              <w:tab w:val="left" w:pos="709"/>
            </w:tabs>
            <w:spacing w:line="240" w:lineRule="auto"/>
            <w:jc w:val="both"/>
            <w:rPr>
              <w:rFonts w:cstheme="minorHAnsi"/>
              <w:sz w:val="23"/>
              <w:szCs w:val="23"/>
            </w:rPr>
          </w:pPr>
        </w:p>
        <w:p w14:paraId="1CAF0345" w14:textId="77777777" w:rsidR="00612B1E" w:rsidRPr="00406EBF" w:rsidRDefault="003770BA"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L’article 32 de la Constitution consacre le principe de la publicité des actes administratifs. Il a été mis en œuvre au niveau de l’administration fédérale par la loi du 11 avril 1994 relative à la publicité de l’administration</w:t>
          </w:r>
          <w:r w:rsidRPr="00406EBF">
            <w:rPr>
              <w:rStyle w:val="Appelnotedebasdep"/>
              <w:rFonts w:cstheme="minorHAnsi"/>
              <w:sz w:val="23"/>
              <w:szCs w:val="23"/>
            </w:rPr>
            <w:footnoteReference w:id="21"/>
          </w:r>
          <w:r w:rsidR="00CB30A9" w:rsidRPr="00406EBF">
            <w:rPr>
              <w:rFonts w:cstheme="minorHAnsi"/>
              <w:sz w:val="23"/>
              <w:szCs w:val="23"/>
            </w:rPr>
            <w:t>. La notion de publicité de l’administration est définie comme étant « une obligation incombant à une administration de mettre des documents ou des informations à la disposition du public ».</w:t>
          </w:r>
          <w:r w:rsidR="004D07C4">
            <w:rPr>
              <w:rFonts w:cstheme="minorHAnsi"/>
              <w:sz w:val="23"/>
              <w:szCs w:val="23"/>
            </w:rPr>
            <w:t xml:space="preserve"> L’EEG note que la Belgique a signé en 2009 la Convention du Conseil de l’Europe sur </w:t>
          </w:r>
          <w:r w:rsidR="004D07C4" w:rsidRPr="004D07C4">
            <w:rPr>
              <w:rFonts w:cstheme="minorHAnsi"/>
              <w:sz w:val="23"/>
              <w:szCs w:val="23"/>
            </w:rPr>
            <w:t>l’accès aux documents publics</w:t>
          </w:r>
          <w:r w:rsidR="004D07C4" w:rsidRPr="00406EBF">
            <w:rPr>
              <w:rFonts w:cstheme="minorHAnsi"/>
              <w:sz w:val="23"/>
              <w:szCs w:val="23"/>
            </w:rPr>
            <w:t xml:space="preserve"> </w:t>
          </w:r>
          <w:r w:rsidR="004D07C4">
            <w:rPr>
              <w:rFonts w:cstheme="minorHAnsi"/>
              <w:sz w:val="23"/>
              <w:szCs w:val="23"/>
            </w:rPr>
            <w:t>(STCE n°205), mais ne l’a pas ratifiée. Elle encourage les autorités belges à procéder rapidement à cette ratification.</w:t>
          </w:r>
        </w:p>
        <w:p w14:paraId="011D2E22" w14:textId="77777777" w:rsidR="00CB30A9" w:rsidRPr="00406EBF" w:rsidRDefault="00CB30A9" w:rsidP="00CB30A9">
          <w:pPr>
            <w:spacing w:line="240" w:lineRule="auto"/>
            <w:jc w:val="both"/>
            <w:rPr>
              <w:rFonts w:cstheme="minorHAnsi"/>
              <w:sz w:val="23"/>
              <w:szCs w:val="23"/>
            </w:rPr>
          </w:pPr>
        </w:p>
        <w:p w14:paraId="577F8D71" w14:textId="77777777" w:rsidR="00617338" w:rsidRPr="00406EBF" w:rsidRDefault="00CB30A9"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Des informations sont accessibles au public sur le site officiel du gouvernement</w:t>
          </w:r>
          <w:r w:rsidRPr="00406EBF">
            <w:rPr>
              <w:rStyle w:val="Appelnotedebasdep"/>
              <w:rFonts w:cstheme="minorHAnsi"/>
              <w:sz w:val="23"/>
              <w:szCs w:val="23"/>
            </w:rPr>
            <w:footnoteReference w:id="22"/>
          </w:r>
          <w:r w:rsidRPr="00406EBF">
            <w:rPr>
              <w:rFonts w:cstheme="minorHAnsi"/>
              <w:sz w:val="23"/>
              <w:szCs w:val="23"/>
            </w:rPr>
            <w:t>, comme par ex</w:t>
          </w:r>
          <w:r w:rsidR="00F7620B" w:rsidRPr="00406EBF">
            <w:rPr>
              <w:rFonts w:cstheme="minorHAnsi"/>
              <w:sz w:val="23"/>
              <w:szCs w:val="23"/>
            </w:rPr>
            <w:t>emple sa composition, son fonct</w:t>
          </w:r>
          <w:r w:rsidRPr="00406EBF">
            <w:rPr>
              <w:rFonts w:cstheme="minorHAnsi"/>
              <w:sz w:val="23"/>
              <w:szCs w:val="23"/>
            </w:rPr>
            <w:t>i</w:t>
          </w:r>
          <w:r w:rsidR="00F7620B" w:rsidRPr="00406EBF">
            <w:rPr>
              <w:rFonts w:cstheme="minorHAnsi"/>
              <w:sz w:val="23"/>
              <w:szCs w:val="23"/>
            </w:rPr>
            <w:t>o</w:t>
          </w:r>
          <w:r w:rsidRPr="00406EBF">
            <w:rPr>
              <w:rFonts w:cstheme="minorHAnsi"/>
              <w:sz w:val="23"/>
              <w:szCs w:val="23"/>
            </w:rPr>
            <w:t>nnement, l’accord de gouvernement, la déclaration gouvernementale, les actualités du gouvernement</w:t>
          </w:r>
          <w:r w:rsidR="00AD5040" w:rsidRPr="00406EBF">
            <w:rPr>
              <w:rFonts w:cstheme="minorHAnsi"/>
              <w:sz w:val="23"/>
              <w:szCs w:val="23"/>
            </w:rPr>
            <w:t>, les décisions du Conseil des ministres</w:t>
          </w:r>
          <w:r w:rsidRPr="00406EBF">
            <w:rPr>
              <w:rFonts w:cstheme="minorHAnsi"/>
              <w:sz w:val="23"/>
              <w:szCs w:val="23"/>
            </w:rPr>
            <w:t xml:space="preserve"> etc.</w:t>
          </w:r>
          <w:r w:rsidR="00F565B1" w:rsidRPr="00406EBF">
            <w:rPr>
              <w:rFonts w:cstheme="minorHAnsi"/>
              <w:sz w:val="23"/>
              <w:szCs w:val="23"/>
            </w:rPr>
            <w:t xml:space="preserve"> Des informations sur l’activité du gouvernement et des services publics fédéraux sont également disponibles sur</w:t>
          </w:r>
          <w:r w:rsidR="009E419D" w:rsidRPr="00406EBF">
            <w:rPr>
              <w:rFonts w:cstheme="minorHAnsi"/>
              <w:sz w:val="23"/>
              <w:szCs w:val="23"/>
            </w:rPr>
            <w:t xml:space="preserve"> le site du Premier Ministre</w:t>
          </w:r>
          <w:r w:rsidR="00617338" w:rsidRPr="00406EBF">
            <w:rPr>
              <w:sz w:val="23"/>
              <w:szCs w:val="23"/>
              <w:vertAlign w:val="superscript"/>
            </w:rPr>
            <w:footnoteReference w:id="23"/>
          </w:r>
          <w:r w:rsidR="009E419D" w:rsidRPr="00406EBF">
            <w:rPr>
              <w:rFonts w:cstheme="minorHAnsi"/>
              <w:sz w:val="23"/>
              <w:szCs w:val="23"/>
            </w:rPr>
            <w:t xml:space="preserve"> et ceux des services publics fédéraux</w:t>
          </w:r>
          <w:r w:rsidR="00F565B1" w:rsidRPr="00406EBF">
            <w:rPr>
              <w:rFonts w:cstheme="minorHAnsi"/>
              <w:sz w:val="23"/>
              <w:szCs w:val="23"/>
            </w:rPr>
            <w:t xml:space="preserve">. </w:t>
          </w:r>
        </w:p>
        <w:p w14:paraId="5361FFA4" w14:textId="77777777" w:rsidR="00617338" w:rsidRPr="00406EBF" w:rsidRDefault="00617338" w:rsidP="00617338">
          <w:pPr>
            <w:pStyle w:val="Paragraphedeliste"/>
            <w:rPr>
              <w:rFonts w:cstheme="minorHAnsi"/>
              <w:sz w:val="23"/>
              <w:szCs w:val="23"/>
            </w:rPr>
          </w:pPr>
        </w:p>
        <w:p w14:paraId="719928D7" w14:textId="431C9116" w:rsidR="00CB30A9" w:rsidRPr="00406EBF" w:rsidRDefault="00F565B1"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D’après les informations recueillies par l’EEG, la proactivité de la publication d’informations </w:t>
          </w:r>
          <w:r w:rsidR="00617338" w:rsidRPr="00406EBF">
            <w:rPr>
              <w:rFonts w:cstheme="minorHAnsi"/>
              <w:sz w:val="23"/>
              <w:szCs w:val="23"/>
            </w:rPr>
            <w:t xml:space="preserve">sur internet et la pratique d’octroi d’accès aux documents administratifs </w:t>
          </w:r>
          <w:r w:rsidRPr="00406EBF">
            <w:rPr>
              <w:rFonts w:cstheme="minorHAnsi"/>
              <w:sz w:val="23"/>
              <w:szCs w:val="23"/>
            </w:rPr>
            <w:t>varie</w:t>
          </w:r>
          <w:r w:rsidR="00617338" w:rsidRPr="00406EBF">
            <w:rPr>
              <w:rFonts w:cstheme="minorHAnsi"/>
              <w:sz w:val="23"/>
              <w:szCs w:val="23"/>
            </w:rPr>
            <w:t>nt</w:t>
          </w:r>
          <w:r w:rsidRPr="00406EBF">
            <w:rPr>
              <w:rFonts w:cstheme="minorHAnsi"/>
              <w:sz w:val="23"/>
              <w:szCs w:val="23"/>
            </w:rPr>
            <w:t xml:space="preserve"> selon les </w:t>
          </w:r>
          <w:r w:rsidR="009E419D" w:rsidRPr="00406EBF">
            <w:rPr>
              <w:rFonts w:cstheme="minorHAnsi"/>
              <w:sz w:val="23"/>
              <w:szCs w:val="23"/>
            </w:rPr>
            <w:t>services publics fédéraux</w:t>
          </w:r>
          <w:r w:rsidR="00617338" w:rsidRPr="00406EBF">
            <w:rPr>
              <w:rFonts w:cstheme="minorHAnsi"/>
              <w:sz w:val="23"/>
              <w:szCs w:val="23"/>
            </w:rPr>
            <w:t xml:space="preserve">, malgré des </w:t>
          </w:r>
          <w:r w:rsidR="00C44BE8">
            <w:rPr>
              <w:rFonts w:cstheme="minorHAnsi"/>
              <w:sz w:val="23"/>
              <w:szCs w:val="23"/>
            </w:rPr>
            <w:t>avis favorables</w:t>
          </w:r>
          <w:r w:rsidR="00617338" w:rsidRPr="00406EBF">
            <w:rPr>
              <w:rFonts w:cstheme="minorHAnsi"/>
              <w:sz w:val="23"/>
              <w:szCs w:val="23"/>
            </w:rPr>
            <w:t xml:space="preserve"> de la Commission fédérale d’accès aux documents administratifs</w:t>
          </w:r>
          <w:r w:rsidR="00841D89" w:rsidRPr="00406EBF">
            <w:rPr>
              <w:rFonts w:cstheme="minorHAnsi"/>
              <w:sz w:val="23"/>
              <w:szCs w:val="23"/>
            </w:rPr>
            <w:t xml:space="preserve"> (CADA fédérale)</w:t>
          </w:r>
          <w:r w:rsidR="00617338" w:rsidRPr="00406EBF">
            <w:rPr>
              <w:rFonts w:cstheme="minorHAnsi"/>
              <w:sz w:val="23"/>
              <w:szCs w:val="23"/>
            </w:rPr>
            <w:t>, saisie par des représentants de la société civile</w:t>
          </w:r>
          <w:r w:rsidR="009E419D" w:rsidRPr="00406EBF">
            <w:rPr>
              <w:rFonts w:cstheme="minorHAnsi"/>
              <w:sz w:val="23"/>
              <w:szCs w:val="23"/>
            </w:rPr>
            <w:t xml:space="preserve">. </w:t>
          </w:r>
          <w:r w:rsidR="00617338" w:rsidRPr="00406EBF">
            <w:rPr>
              <w:rFonts w:cstheme="minorHAnsi"/>
              <w:sz w:val="23"/>
              <w:szCs w:val="23"/>
            </w:rPr>
            <w:t>Certains services publics sembleraient exiger qu’un intérêt soit démontré pour avoir accès à un document, alors que la loi du 11 avril 1994 (art. 4</w:t>
          </w:r>
          <w:r w:rsidR="00687701">
            <w:rPr>
              <w:rFonts w:cstheme="minorHAnsi"/>
              <w:sz w:val="23"/>
              <w:szCs w:val="23"/>
            </w:rPr>
            <w:t xml:space="preserve"> alinéa </w:t>
          </w:r>
          <w:r w:rsidR="00617338" w:rsidRPr="00406EBF">
            <w:rPr>
              <w:rFonts w:cstheme="minorHAnsi"/>
              <w:sz w:val="23"/>
              <w:szCs w:val="23"/>
            </w:rPr>
            <w:t xml:space="preserve">2) précise clairement qu’un tel intérêt n’est nécessaire que pour les données à caractère personnel. </w:t>
          </w:r>
          <w:r w:rsidR="00422292" w:rsidRPr="00406EBF">
            <w:rPr>
              <w:rFonts w:cstheme="minorHAnsi"/>
              <w:sz w:val="23"/>
              <w:szCs w:val="23"/>
            </w:rPr>
            <w:t xml:space="preserve">Les journalistes ont également fait état d’un durcissement des relations entre les médias et le monde politique et d’une difficulté croissante à obtenir certaines informations. L’EEG souligne que l’accès du public et des médias aux informations sur l’activité du gouvernement et des PHFE est un élément fondamental de contrôle par la société civile de l’exécutif. </w:t>
          </w:r>
          <w:r w:rsidR="004D07C4">
            <w:rPr>
              <w:rFonts w:cstheme="minorHAnsi"/>
              <w:sz w:val="23"/>
              <w:szCs w:val="23"/>
            </w:rPr>
            <w:t xml:space="preserve">Elle </w:t>
          </w:r>
          <w:r w:rsidR="00422292" w:rsidRPr="00406EBF">
            <w:rPr>
              <w:rFonts w:cstheme="minorHAnsi"/>
              <w:sz w:val="23"/>
              <w:szCs w:val="23"/>
            </w:rPr>
            <w:t>encourage les autorités à réitérer l’importance de ce principe au sein des services publics fédéraux.</w:t>
          </w:r>
          <w:r w:rsidR="004D07C4">
            <w:rPr>
              <w:rFonts w:cstheme="minorHAnsi"/>
              <w:sz w:val="23"/>
              <w:szCs w:val="23"/>
            </w:rPr>
            <w:t xml:space="preserve"> </w:t>
          </w:r>
        </w:p>
        <w:p w14:paraId="1BC0C063" w14:textId="77777777" w:rsidR="00F7620B" w:rsidRPr="00406EBF" w:rsidRDefault="00F7620B" w:rsidP="00F7620B">
          <w:pPr>
            <w:pStyle w:val="Paragraphedeliste"/>
            <w:rPr>
              <w:rFonts w:cstheme="minorHAnsi"/>
              <w:sz w:val="23"/>
              <w:szCs w:val="23"/>
            </w:rPr>
          </w:pPr>
        </w:p>
        <w:p w14:paraId="4CA1483E" w14:textId="77777777" w:rsidR="00F7620B" w:rsidRPr="00406EBF" w:rsidRDefault="00841D89"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L’EEG a appris lors de la visite sur place que la loi sur l’accès à l’information de 1994 ne semblait pas couvrir clairement l’activité des organes stratégiques</w:t>
          </w:r>
          <w:r w:rsidR="00B26E89" w:rsidRPr="00406EBF">
            <w:rPr>
              <w:rFonts w:cstheme="minorHAnsi"/>
              <w:sz w:val="23"/>
              <w:szCs w:val="23"/>
            </w:rPr>
            <w:t>/cabinets</w:t>
          </w:r>
          <w:r w:rsidRPr="00406EBF">
            <w:rPr>
              <w:rFonts w:cstheme="minorHAnsi"/>
              <w:sz w:val="23"/>
              <w:szCs w:val="23"/>
            </w:rPr>
            <w:t xml:space="preserve">. Elle se réfère à l’article 14 de la loi sur le Conseil d’Etat pour déterminer les autorités administratives auxquelles l’accès à l’information s’applique, mais cet article n’est pas précis, faisant référence à « diverses autorités administratives ». Quoi qu’il en soit, les organes stratégiques ne sont pas des autorités administratives couvertes par la loi dans la pratique de la CADA fédérale, alors que les CADA compétentes pour les entités fédérées semblent être d’un avis contraire. Par conséquent, </w:t>
          </w:r>
          <w:r w:rsidRPr="00406EBF">
            <w:rPr>
              <w:rFonts w:cstheme="minorHAnsi"/>
              <w:b/>
              <w:sz w:val="23"/>
              <w:szCs w:val="23"/>
            </w:rPr>
            <w:t xml:space="preserve">le GRECO recommande </w:t>
          </w:r>
          <w:bookmarkStart w:id="43" w:name="_Hlk26528541"/>
          <w:r w:rsidRPr="00406EBF">
            <w:rPr>
              <w:rFonts w:cstheme="minorHAnsi"/>
              <w:b/>
              <w:sz w:val="23"/>
              <w:szCs w:val="23"/>
            </w:rPr>
            <w:t>de s’assurer que les organes stratégiques</w:t>
          </w:r>
          <w:r w:rsidR="00B26E89" w:rsidRPr="00406EBF">
            <w:rPr>
              <w:rFonts w:cstheme="minorHAnsi"/>
              <w:b/>
              <w:sz w:val="23"/>
              <w:szCs w:val="23"/>
            </w:rPr>
            <w:t>/cabinets</w:t>
          </w:r>
          <w:r w:rsidRPr="00406EBF">
            <w:rPr>
              <w:rFonts w:cstheme="minorHAnsi"/>
              <w:b/>
              <w:sz w:val="23"/>
              <w:szCs w:val="23"/>
            </w:rPr>
            <w:t xml:space="preserve"> soient clairement soumis au champ d’application de la loi relative à la publicité de l’administration</w:t>
          </w:r>
          <w:bookmarkEnd w:id="43"/>
          <w:r w:rsidRPr="00406EBF">
            <w:rPr>
              <w:rFonts w:cstheme="minorHAnsi"/>
              <w:b/>
              <w:sz w:val="23"/>
              <w:szCs w:val="23"/>
            </w:rPr>
            <w:t xml:space="preserve">. </w:t>
          </w:r>
          <w:r w:rsidR="00C16481" w:rsidRPr="00406EBF">
            <w:rPr>
              <w:rFonts w:cstheme="minorHAnsi"/>
              <w:sz w:val="23"/>
              <w:szCs w:val="23"/>
            </w:rPr>
            <w:t xml:space="preserve">Ceci suppose </w:t>
          </w:r>
          <w:r w:rsidR="00C16481" w:rsidRPr="00406EBF">
            <w:rPr>
              <w:rFonts w:cstheme="minorHAnsi"/>
              <w:sz w:val="23"/>
              <w:szCs w:val="23"/>
            </w:rPr>
            <w:lastRenderedPageBreak/>
            <w:t>notamment que les membres des organes stratégiques utilisent la messagerie officielle des services de l’Etat et non des messageries privées pour leurs communications.</w:t>
          </w:r>
        </w:p>
        <w:p w14:paraId="625D47CA" w14:textId="77777777" w:rsidR="00581303" w:rsidRPr="00406EBF" w:rsidRDefault="00581303" w:rsidP="00581303">
          <w:pPr>
            <w:pStyle w:val="Paragraphedeliste"/>
            <w:rPr>
              <w:rFonts w:cstheme="minorHAnsi"/>
              <w:sz w:val="23"/>
              <w:szCs w:val="23"/>
            </w:rPr>
          </w:pPr>
        </w:p>
        <w:p w14:paraId="2F980559" w14:textId="6ED62989" w:rsidR="00581303" w:rsidRPr="00406EBF" w:rsidRDefault="00581303"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Un corollaire du flou entourant la soumission des organes statégiques à l</w:t>
          </w:r>
          <w:r w:rsidR="00F76C26" w:rsidRPr="00406EBF">
            <w:rPr>
              <w:rFonts w:cstheme="minorHAnsi"/>
              <w:sz w:val="23"/>
              <w:szCs w:val="23"/>
            </w:rPr>
            <w:t>a</w:t>
          </w:r>
          <w:r w:rsidRPr="00406EBF">
            <w:rPr>
              <w:rFonts w:cstheme="minorHAnsi"/>
              <w:sz w:val="23"/>
              <w:szCs w:val="23"/>
            </w:rPr>
            <w:t xml:space="preserve"> loi relative à la publicité de l’administration est que les dossiers et archives des ministres disparaissent </w:t>
          </w:r>
          <w:r w:rsidR="007F0D23" w:rsidRPr="00406EBF">
            <w:rPr>
              <w:rFonts w:cstheme="minorHAnsi"/>
              <w:sz w:val="23"/>
              <w:szCs w:val="23"/>
            </w:rPr>
            <w:t xml:space="preserve">lors de leur départ. Malgré </w:t>
          </w:r>
          <w:r w:rsidR="00687701">
            <w:rPr>
              <w:rFonts w:cstheme="minorHAnsi"/>
              <w:sz w:val="23"/>
              <w:szCs w:val="23"/>
            </w:rPr>
            <w:t>la décision du Conseil des ministres</w:t>
          </w:r>
          <w:r w:rsidR="007F0D23" w:rsidRPr="00406EBF">
            <w:rPr>
              <w:rFonts w:cstheme="minorHAnsi"/>
              <w:sz w:val="23"/>
              <w:szCs w:val="23"/>
            </w:rPr>
            <w:t xml:space="preserve"> datant de 2007 demandant le transfert de ces documents aux Archives générales du Royaume et/ou à un centre de documentation agréé, cette pratique semble perdurer, y compris dans le cadre de scandales comme celui du </w:t>
          </w:r>
          <w:r w:rsidR="004D07C4">
            <w:rPr>
              <w:rFonts w:cstheme="minorHAnsi"/>
              <w:sz w:val="23"/>
              <w:szCs w:val="23"/>
            </w:rPr>
            <w:t>« </w:t>
          </w:r>
          <w:r w:rsidR="007F0D23" w:rsidRPr="00406EBF">
            <w:rPr>
              <w:rFonts w:cstheme="minorHAnsi"/>
              <w:sz w:val="23"/>
              <w:szCs w:val="23"/>
            </w:rPr>
            <w:t>Kazakhgate</w:t>
          </w:r>
          <w:r w:rsidR="004D07C4">
            <w:rPr>
              <w:rFonts w:cstheme="minorHAnsi"/>
              <w:sz w:val="23"/>
              <w:szCs w:val="23"/>
            </w:rPr>
            <w:t> » </w:t>
          </w:r>
          <w:r w:rsidR="007F0D23" w:rsidRPr="00406EBF">
            <w:rPr>
              <w:rFonts w:cstheme="minorHAnsi"/>
              <w:sz w:val="23"/>
              <w:szCs w:val="23"/>
            </w:rPr>
            <w:t xml:space="preserve">(voir section sur le contexte). </w:t>
          </w:r>
          <w:r w:rsidR="00C16481" w:rsidRPr="00406EBF">
            <w:rPr>
              <w:rFonts w:cstheme="minorHAnsi"/>
              <w:sz w:val="23"/>
              <w:szCs w:val="23"/>
            </w:rPr>
            <w:t>L’EEG souligne que c</w:t>
          </w:r>
          <w:r w:rsidR="007F0D23" w:rsidRPr="00406EBF">
            <w:rPr>
              <w:rFonts w:cstheme="minorHAnsi"/>
              <w:sz w:val="23"/>
              <w:szCs w:val="23"/>
            </w:rPr>
            <w:t xml:space="preserve">ette </w:t>
          </w:r>
          <w:r w:rsidR="00C16481" w:rsidRPr="00406EBF">
            <w:rPr>
              <w:rFonts w:cstheme="minorHAnsi"/>
              <w:sz w:val="23"/>
              <w:szCs w:val="23"/>
            </w:rPr>
            <w:t xml:space="preserve">pratique - qui est permise par la loi puisque la loi sur les archives </w:t>
          </w:r>
          <w:r w:rsidR="00687701">
            <w:rPr>
              <w:rFonts w:cstheme="minorHAnsi"/>
              <w:sz w:val="23"/>
              <w:szCs w:val="23"/>
            </w:rPr>
            <w:t>ne s’applique pas aux cabinets, qui ne sont pas considérés comme une administration d’Etat et dont les archives ont le statut de droit privé</w:t>
          </w:r>
          <w:r w:rsidR="00C16481" w:rsidRPr="00406EBF">
            <w:rPr>
              <w:rFonts w:cstheme="minorHAnsi"/>
              <w:sz w:val="23"/>
              <w:szCs w:val="23"/>
            </w:rPr>
            <w:t xml:space="preserve"> – met </w:t>
          </w:r>
          <w:r w:rsidR="007F0D23" w:rsidRPr="00406EBF">
            <w:rPr>
              <w:rFonts w:cstheme="minorHAnsi"/>
              <w:sz w:val="23"/>
              <w:szCs w:val="23"/>
            </w:rPr>
            <w:t>en péril la bonne gestion des informations de l’Etat et le droit d’accès aux informations. Elle affecte aussi la possibilité d’assurer que les ministres et leurs équipes rendent des comptes</w:t>
          </w:r>
          <w:r w:rsidR="00C16481" w:rsidRPr="00406EBF">
            <w:rPr>
              <w:rFonts w:cstheme="minorHAnsi"/>
              <w:sz w:val="23"/>
              <w:szCs w:val="23"/>
            </w:rPr>
            <w:t>.</w:t>
          </w:r>
          <w:r w:rsidR="00C16481" w:rsidRPr="00406EBF">
            <w:rPr>
              <w:rFonts w:cstheme="minorHAnsi"/>
              <w:b/>
              <w:sz w:val="23"/>
              <w:szCs w:val="23"/>
            </w:rPr>
            <w:t xml:space="preserve"> Le GRECO recommande </w:t>
          </w:r>
          <w:bookmarkStart w:id="44" w:name="_Hlk26528558"/>
          <w:r w:rsidR="00C16481" w:rsidRPr="00406EBF">
            <w:rPr>
              <w:rFonts w:cstheme="minorHAnsi"/>
              <w:b/>
              <w:sz w:val="23"/>
              <w:szCs w:val="23"/>
            </w:rPr>
            <w:t xml:space="preserve">de s’assurer que les dossiers </w:t>
          </w:r>
          <w:r w:rsidR="004D07C4">
            <w:rPr>
              <w:rFonts w:cstheme="minorHAnsi"/>
              <w:b/>
              <w:sz w:val="23"/>
              <w:szCs w:val="23"/>
            </w:rPr>
            <w:t xml:space="preserve">du gouvernement, </w:t>
          </w:r>
          <w:r w:rsidR="00C16481" w:rsidRPr="00406EBF">
            <w:rPr>
              <w:rFonts w:cstheme="minorHAnsi"/>
              <w:b/>
              <w:sz w:val="23"/>
              <w:szCs w:val="23"/>
            </w:rPr>
            <w:t>des ministres et de leurs organes stratégiques</w:t>
          </w:r>
          <w:r w:rsidR="00A47B54" w:rsidRPr="00406EBF">
            <w:rPr>
              <w:rFonts w:cstheme="minorHAnsi"/>
              <w:b/>
              <w:sz w:val="23"/>
              <w:szCs w:val="23"/>
            </w:rPr>
            <w:t>/cabinets</w:t>
          </w:r>
          <w:r w:rsidR="00C16481" w:rsidRPr="00406EBF">
            <w:rPr>
              <w:rFonts w:cstheme="minorHAnsi"/>
              <w:b/>
              <w:sz w:val="23"/>
              <w:szCs w:val="23"/>
            </w:rPr>
            <w:t xml:space="preserve"> soient conservés de manière appropriée et qu’ils soient disponibles pour leurs successeurs afin d’assurer la bonne marche des affaires</w:t>
          </w:r>
          <w:bookmarkEnd w:id="44"/>
          <w:r w:rsidR="00C16481" w:rsidRPr="00406EBF">
            <w:rPr>
              <w:rFonts w:cstheme="minorHAnsi"/>
              <w:b/>
              <w:sz w:val="23"/>
              <w:szCs w:val="23"/>
            </w:rPr>
            <w:t>.</w:t>
          </w:r>
        </w:p>
        <w:p w14:paraId="7611EF8F" w14:textId="77777777" w:rsidR="00F513D1" w:rsidRPr="00406EBF" w:rsidRDefault="00F513D1" w:rsidP="001878CC">
          <w:pPr>
            <w:spacing w:line="240" w:lineRule="auto"/>
            <w:jc w:val="both"/>
            <w:rPr>
              <w:rFonts w:cstheme="minorHAnsi"/>
              <w:sz w:val="23"/>
              <w:szCs w:val="23"/>
            </w:rPr>
          </w:pPr>
        </w:p>
        <w:p w14:paraId="2920450D"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45" w:name="_Toc2777388"/>
          <w:bookmarkStart w:id="46" w:name="_Toc21339562"/>
          <w:r w:rsidRPr="00406EBF">
            <w:rPr>
              <w:rFonts w:asciiTheme="minorHAnsi" w:hAnsiTheme="minorHAnsi" w:cstheme="minorHAnsi"/>
              <w:b w:val="0"/>
              <w:i/>
              <w:color w:val="auto"/>
              <w:sz w:val="23"/>
              <w:szCs w:val="23"/>
            </w:rPr>
            <w:t>Transparence des projets de loi</w:t>
          </w:r>
          <w:bookmarkEnd w:id="45"/>
          <w:bookmarkEnd w:id="46"/>
        </w:p>
        <w:p w14:paraId="5605C030" w14:textId="77777777" w:rsidR="00612B1E" w:rsidRPr="00406EBF" w:rsidRDefault="00612B1E" w:rsidP="001878CC">
          <w:pPr>
            <w:spacing w:line="240" w:lineRule="auto"/>
            <w:jc w:val="both"/>
            <w:rPr>
              <w:i/>
              <w:sz w:val="23"/>
              <w:szCs w:val="23"/>
            </w:rPr>
          </w:pPr>
        </w:p>
        <w:p w14:paraId="35AAE1AE" w14:textId="77777777" w:rsidR="00612B1E" w:rsidRPr="00406EBF" w:rsidRDefault="00CC573A"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projets de loi sont accessibles au public après leur publication sur le site web de la Chambre des représentants. La publication sur le site web intervient dans la pratique quelques jours après le dépôt du projet au Parlement, le temps de réaliser la mise en page et d’obtenir l’accord du gouvernement sur la version finale.</w:t>
          </w:r>
        </w:p>
        <w:p w14:paraId="77A0ADCB" w14:textId="77777777" w:rsidR="00CC573A" w:rsidRPr="00406EBF" w:rsidRDefault="00CC573A" w:rsidP="00CC573A">
          <w:pPr>
            <w:spacing w:line="240" w:lineRule="auto"/>
            <w:jc w:val="both"/>
            <w:rPr>
              <w:rFonts w:cstheme="minorHAnsi"/>
              <w:sz w:val="23"/>
              <w:szCs w:val="23"/>
            </w:rPr>
          </w:pPr>
        </w:p>
        <w:p w14:paraId="6A383FED" w14:textId="77777777" w:rsidR="00CC573A" w:rsidRPr="00406EBF" w:rsidRDefault="004F7FEF"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Il n’y a pas d</w:t>
          </w:r>
          <w:r w:rsidR="00DD0414" w:rsidRPr="00406EBF">
            <w:rPr>
              <w:rFonts w:cstheme="minorHAnsi"/>
              <w:sz w:val="23"/>
              <w:szCs w:val="23"/>
            </w:rPr>
            <w:t>’obligation de</w:t>
          </w:r>
          <w:r w:rsidRPr="00406EBF">
            <w:rPr>
              <w:rFonts w:cstheme="minorHAnsi"/>
              <w:sz w:val="23"/>
              <w:szCs w:val="23"/>
            </w:rPr>
            <w:t xml:space="preserve"> consultation publique sur les projets de loi présentés par l’exécutif.</w:t>
          </w:r>
          <w:r w:rsidR="00DD0414" w:rsidRPr="00406EBF">
            <w:rPr>
              <w:rFonts w:cstheme="minorHAnsi"/>
              <w:sz w:val="23"/>
              <w:szCs w:val="23"/>
            </w:rPr>
            <w:t xml:space="preserve"> Certains services publics fédéraux organisent toutefois des consultations publiques de manière volontaire. Dans certains domaines, la consultation de groupes-cibles spécifiques est en outre prévue par la loi. </w:t>
          </w:r>
        </w:p>
        <w:p w14:paraId="0AF9589E" w14:textId="77777777" w:rsidR="00DD0414" w:rsidRPr="00406EBF" w:rsidRDefault="00DD0414" w:rsidP="00DD0414">
          <w:pPr>
            <w:pStyle w:val="Paragraphedeliste"/>
            <w:rPr>
              <w:rFonts w:cstheme="minorHAnsi"/>
              <w:sz w:val="23"/>
              <w:szCs w:val="23"/>
            </w:rPr>
          </w:pPr>
        </w:p>
        <w:p w14:paraId="1AC95FFF" w14:textId="77777777" w:rsidR="00366195" w:rsidRPr="00406EBF" w:rsidRDefault="00DD0414" w:rsidP="00366195">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L’EEG note que le gouvernement et les services publics fédéraux ont une large discrétion pour décider si et quand une consultation publique sera lancée sur les projets de loi. Elle rappelle que la transparence du processus législatif est une caractéristique importante d’une politique anti-corruption</w:t>
          </w:r>
          <w:r w:rsidR="00366195" w:rsidRPr="00406EBF">
            <w:rPr>
              <w:rFonts w:cstheme="minorHAnsi"/>
              <w:sz w:val="23"/>
              <w:szCs w:val="23"/>
            </w:rPr>
            <w:t xml:space="preserve">. C’est pourquoi il serait préférable, dans un souci de prévisibilité, que des critères soient </w:t>
          </w:r>
          <w:r w:rsidR="00A712BB">
            <w:rPr>
              <w:rFonts w:cstheme="minorHAnsi"/>
              <w:sz w:val="23"/>
              <w:szCs w:val="23"/>
            </w:rPr>
            <w:t xml:space="preserve">mis </w:t>
          </w:r>
          <w:r w:rsidR="00366195" w:rsidRPr="00406EBF">
            <w:rPr>
              <w:rFonts w:cstheme="minorHAnsi"/>
              <w:sz w:val="23"/>
              <w:szCs w:val="23"/>
            </w:rPr>
            <w:t xml:space="preserve">en place et appliqués efficacement pour assurer l’existence de consultations et la transparence du processus, et que des informations sur les résultats de ces consultations soient disponibles. Il faudrait prévoir suffisamment de temps pour que ces processus permettent de recueillir un nombre suffisant de données. C’est pourquoi </w:t>
          </w:r>
          <w:r w:rsidR="00366195" w:rsidRPr="00406EBF">
            <w:rPr>
              <w:rFonts w:cstheme="minorHAnsi"/>
              <w:b/>
              <w:sz w:val="23"/>
              <w:szCs w:val="23"/>
            </w:rPr>
            <w:t xml:space="preserve">le GRECO recommande </w:t>
          </w:r>
          <w:bookmarkStart w:id="47" w:name="_Hlk26528574"/>
          <w:r w:rsidR="00366195" w:rsidRPr="00406EBF">
            <w:rPr>
              <w:rFonts w:cstheme="minorHAnsi"/>
              <w:b/>
              <w:sz w:val="23"/>
              <w:szCs w:val="23"/>
            </w:rPr>
            <w:t xml:space="preserve">(i) d’assurer un niveau approprié de consultation publique sur les projets de loi </w:t>
          </w:r>
          <w:r w:rsidR="004D07C4">
            <w:rPr>
              <w:rFonts w:cstheme="minorHAnsi"/>
              <w:b/>
              <w:sz w:val="23"/>
              <w:szCs w:val="23"/>
            </w:rPr>
            <w:t>émanant du</w:t>
          </w:r>
          <w:r w:rsidR="00366195" w:rsidRPr="00406EBF">
            <w:rPr>
              <w:rFonts w:cstheme="minorHAnsi"/>
              <w:b/>
              <w:sz w:val="23"/>
              <w:szCs w:val="23"/>
            </w:rPr>
            <w:t xml:space="preserve"> gouvernement et (ii) que le résultat des consultations publiques soit publié en ligne en temps opportun et facilement accessible</w:t>
          </w:r>
          <w:bookmarkEnd w:id="47"/>
          <w:r w:rsidR="00366195" w:rsidRPr="00406EBF">
            <w:rPr>
              <w:rFonts w:cstheme="minorHAnsi"/>
              <w:b/>
              <w:sz w:val="23"/>
              <w:szCs w:val="23"/>
            </w:rPr>
            <w:t>.</w:t>
          </w:r>
        </w:p>
        <w:p w14:paraId="3A746EC3" w14:textId="77777777" w:rsidR="00215ED1" w:rsidRPr="00406EBF" w:rsidRDefault="00366195" w:rsidP="00366195">
          <w:pPr>
            <w:tabs>
              <w:tab w:val="left" w:pos="709"/>
            </w:tabs>
            <w:spacing w:line="240" w:lineRule="auto"/>
            <w:jc w:val="both"/>
            <w:rPr>
              <w:rFonts w:cstheme="minorHAnsi"/>
              <w:sz w:val="23"/>
              <w:szCs w:val="23"/>
            </w:rPr>
          </w:pPr>
          <w:r w:rsidRPr="00406EBF">
            <w:rPr>
              <w:rFonts w:cstheme="minorHAnsi"/>
              <w:sz w:val="23"/>
              <w:szCs w:val="23"/>
            </w:rPr>
            <w:t xml:space="preserve"> </w:t>
          </w:r>
        </w:p>
        <w:p w14:paraId="1FCA005D" w14:textId="77777777" w:rsidR="006608FA" w:rsidRPr="00406EBF" w:rsidRDefault="006608FA"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48" w:name="_Toc2777389"/>
          <w:bookmarkStart w:id="49" w:name="_Toc21339563"/>
          <w:r w:rsidRPr="00406EBF">
            <w:rPr>
              <w:rFonts w:asciiTheme="minorHAnsi" w:hAnsiTheme="minorHAnsi" w:cstheme="minorHAnsi"/>
              <w:b w:val="0"/>
              <w:i/>
              <w:color w:val="auto"/>
              <w:sz w:val="23"/>
              <w:szCs w:val="23"/>
            </w:rPr>
            <w:t>Tiers et lobbyistes</w:t>
          </w:r>
          <w:bookmarkEnd w:id="48"/>
          <w:bookmarkEnd w:id="49"/>
        </w:p>
        <w:p w14:paraId="237CBB3D" w14:textId="77777777" w:rsidR="00612B1E" w:rsidRPr="00406EBF" w:rsidRDefault="00612B1E" w:rsidP="001878CC">
          <w:pPr>
            <w:spacing w:line="240" w:lineRule="auto"/>
            <w:jc w:val="both"/>
            <w:rPr>
              <w:i/>
              <w:sz w:val="23"/>
              <w:szCs w:val="23"/>
            </w:rPr>
          </w:pPr>
        </w:p>
        <w:p w14:paraId="0327E9A2" w14:textId="3CC72775" w:rsidR="00BB0CE9" w:rsidRPr="00406EBF" w:rsidRDefault="00687701" w:rsidP="001878CC">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Une partie</w:t>
          </w:r>
          <w:r w:rsidR="00F938FA" w:rsidRPr="00406EBF">
            <w:rPr>
              <w:rFonts w:cstheme="minorHAnsi"/>
              <w:sz w:val="23"/>
              <w:szCs w:val="23"/>
            </w:rPr>
            <w:t xml:space="preserve"> des PHFE ne sont soumis</w:t>
          </w:r>
          <w:r>
            <w:rPr>
              <w:rFonts w:cstheme="minorHAnsi"/>
              <w:sz w:val="23"/>
              <w:szCs w:val="23"/>
            </w:rPr>
            <w:t>es</w:t>
          </w:r>
          <w:r w:rsidR="00F938FA" w:rsidRPr="00406EBF">
            <w:rPr>
              <w:rFonts w:cstheme="minorHAnsi"/>
              <w:sz w:val="23"/>
              <w:szCs w:val="23"/>
            </w:rPr>
            <w:t xml:space="preserve"> à aucune règle dans leurs rapports avec les lobbyistes et autres tiers cherchant à influencer leurs décisions. </w:t>
          </w:r>
          <w:r>
            <w:rPr>
              <w:rFonts w:cstheme="minorHAnsi"/>
              <w:sz w:val="23"/>
              <w:szCs w:val="23"/>
            </w:rPr>
            <w:t>L</w:t>
          </w:r>
          <w:r w:rsidR="00F938FA" w:rsidRPr="00406EBF">
            <w:rPr>
              <w:rFonts w:cstheme="minorHAnsi"/>
              <w:sz w:val="23"/>
              <w:szCs w:val="23"/>
            </w:rPr>
            <w:t>es chefs et chefs adjoints des organes stratégiques</w:t>
          </w:r>
          <w:r w:rsidR="00417287">
            <w:rPr>
              <w:rFonts w:cstheme="minorHAnsi"/>
              <w:sz w:val="23"/>
              <w:szCs w:val="23"/>
            </w:rPr>
            <w:t xml:space="preserve"> et</w:t>
          </w:r>
          <w:r>
            <w:rPr>
              <w:rFonts w:cstheme="minorHAnsi"/>
              <w:sz w:val="23"/>
              <w:szCs w:val="23"/>
            </w:rPr>
            <w:t xml:space="preserve"> les </w:t>
          </w:r>
          <w:r w:rsidR="00D2597E">
            <w:rPr>
              <w:rFonts w:cstheme="minorHAnsi"/>
              <w:sz w:val="23"/>
              <w:szCs w:val="23"/>
            </w:rPr>
            <w:t>directeurs</w:t>
          </w:r>
          <w:r w:rsidR="00F938FA" w:rsidRPr="00406EBF">
            <w:rPr>
              <w:rFonts w:cstheme="minorHAnsi"/>
              <w:sz w:val="23"/>
              <w:szCs w:val="23"/>
            </w:rPr>
            <w:t xml:space="preserve"> sont soumis au </w:t>
          </w:r>
          <w:r w:rsidR="00BB0CE9" w:rsidRPr="00406EBF">
            <w:rPr>
              <w:rFonts w:cstheme="minorHAnsi"/>
              <w:sz w:val="23"/>
              <w:szCs w:val="23"/>
            </w:rPr>
            <w:t>Code de déontologie des mandataires publics</w:t>
          </w:r>
          <w:r w:rsidR="00F938FA" w:rsidRPr="00406EBF">
            <w:rPr>
              <w:rFonts w:cstheme="minorHAnsi"/>
              <w:sz w:val="23"/>
              <w:szCs w:val="23"/>
            </w:rPr>
            <w:t xml:space="preserve">, dont l’article 4 prévoit une </w:t>
          </w:r>
          <w:r w:rsidR="00C70BEE" w:rsidRPr="00406EBF">
            <w:rPr>
              <w:rFonts w:cstheme="minorHAnsi"/>
              <w:sz w:val="23"/>
              <w:szCs w:val="23"/>
            </w:rPr>
            <w:t>obligation de</w:t>
          </w:r>
          <w:r w:rsidR="00F938FA" w:rsidRPr="00406EBF">
            <w:rPr>
              <w:rFonts w:cstheme="minorHAnsi"/>
              <w:sz w:val="23"/>
              <w:szCs w:val="23"/>
            </w:rPr>
            <w:t xml:space="preserve"> communication aux autorités compétentes des « faits et obligations susceptibles d’interférer avec leur mandat » ainsi que de toute interférence non autorisée. </w:t>
          </w:r>
          <w:r w:rsidR="00A53CC6" w:rsidRPr="00406EBF">
            <w:rPr>
              <w:rFonts w:cstheme="minorHAnsi"/>
              <w:sz w:val="23"/>
              <w:szCs w:val="23"/>
            </w:rPr>
            <w:t>Ils sont également tenus de rendre public toute affiliation ou lien avec des sociétés, Etats ou organismes « vis-à-vis desquels ils sont tenus à une obligation de loyauté qui pourrait faire obstacle à l’exercice de leur mandat ».</w:t>
          </w:r>
        </w:p>
        <w:p w14:paraId="2D3A907E" w14:textId="77777777" w:rsidR="00BB0CE9" w:rsidRPr="00406EBF" w:rsidRDefault="00BB0CE9" w:rsidP="00BB0CE9">
          <w:pPr>
            <w:spacing w:line="240" w:lineRule="auto"/>
            <w:jc w:val="both"/>
            <w:rPr>
              <w:rFonts w:cstheme="minorHAnsi"/>
              <w:sz w:val="23"/>
              <w:szCs w:val="23"/>
            </w:rPr>
          </w:pPr>
        </w:p>
        <w:p w14:paraId="3AC604CC" w14:textId="77777777" w:rsidR="006608FA" w:rsidRPr="00406EBF" w:rsidRDefault="00A53CC6" w:rsidP="000131B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w:t>
          </w:r>
          <w:r w:rsidR="000D5EF3" w:rsidRPr="00406EBF">
            <w:rPr>
              <w:rFonts w:cstheme="minorHAnsi"/>
              <w:sz w:val="23"/>
              <w:szCs w:val="23"/>
            </w:rPr>
            <w:t>a Commission fédérale de déontologie a rendu le 13 décembre 2017 un avis relatif aux relations entre les mandataires publics et des tiers dans l’élaboration de la législation</w:t>
          </w:r>
          <w:r w:rsidR="000D5EF3" w:rsidRPr="00406EBF">
            <w:rPr>
              <w:rStyle w:val="Appelnotedebasdep"/>
              <w:rFonts w:cstheme="minorHAnsi"/>
              <w:sz w:val="23"/>
              <w:szCs w:val="23"/>
            </w:rPr>
            <w:footnoteReference w:id="24"/>
          </w:r>
          <w:r w:rsidR="000D5EF3" w:rsidRPr="00406EBF">
            <w:rPr>
              <w:rFonts w:cstheme="minorHAnsi"/>
              <w:sz w:val="23"/>
              <w:szCs w:val="23"/>
            </w:rPr>
            <w:t>.</w:t>
          </w:r>
          <w:r w:rsidRPr="00406EBF">
            <w:rPr>
              <w:rFonts w:cstheme="minorHAnsi"/>
              <w:sz w:val="23"/>
              <w:szCs w:val="23"/>
            </w:rPr>
            <w:t xml:space="preserve"> Cet avis appelle notamment à la mise en place d’un cadre juridique</w:t>
          </w:r>
          <w:r w:rsidR="00C70BEE" w:rsidRPr="00406EBF">
            <w:rPr>
              <w:rFonts w:cstheme="minorHAnsi"/>
              <w:sz w:val="23"/>
              <w:szCs w:val="23"/>
            </w:rPr>
            <w:t xml:space="preserve"> régissant les relations entre les lobbyistes et les mandataires publics, assorti d’un contrôle et de sanctions.</w:t>
          </w:r>
        </w:p>
        <w:p w14:paraId="59B2DA7A" w14:textId="77777777" w:rsidR="00C70BEE" w:rsidRPr="00406EBF" w:rsidRDefault="00C70BEE" w:rsidP="00C70BEE">
          <w:pPr>
            <w:pStyle w:val="Paragraphedeliste"/>
            <w:rPr>
              <w:rFonts w:cstheme="minorHAnsi"/>
              <w:sz w:val="23"/>
              <w:szCs w:val="23"/>
            </w:rPr>
          </w:pPr>
        </w:p>
        <w:p w14:paraId="3D746864" w14:textId="68101FE8" w:rsidR="003237DE" w:rsidRPr="00406EBF" w:rsidRDefault="003237DE" w:rsidP="000131BA">
          <w:pPr>
            <w:numPr>
              <w:ilvl w:val="0"/>
              <w:numId w:val="1"/>
            </w:numPr>
            <w:tabs>
              <w:tab w:val="left" w:pos="709"/>
            </w:tabs>
            <w:spacing w:line="240" w:lineRule="auto"/>
            <w:ind w:left="0" w:firstLine="0"/>
            <w:jc w:val="both"/>
            <w:rPr>
              <w:sz w:val="21"/>
              <w:szCs w:val="21"/>
            </w:rPr>
          </w:pPr>
          <w:r w:rsidRPr="00406EBF">
            <w:rPr>
              <w:rFonts w:cstheme="minorHAnsi"/>
              <w:sz w:val="23"/>
              <w:szCs w:val="23"/>
            </w:rPr>
            <w:t xml:space="preserve">L’EEG salue ces préconisations, mais elles doivent être complétées par des règles </w:t>
          </w:r>
          <w:r w:rsidR="00790FE2" w:rsidRPr="00406EBF">
            <w:rPr>
              <w:rFonts w:cstheme="minorHAnsi"/>
              <w:sz w:val="23"/>
              <w:szCs w:val="23"/>
            </w:rPr>
            <w:t>encadrant les</w:t>
          </w:r>
          <w:r w:rsidRPr="00406EBF">
            <w:rPr>
              <w:rFonts w:cstheme="minorHAnsi"/>
              <w:sz w:val="23"/>
              <w:szCs w:val="23"/>
            </w:rPr>
            <w:t xml:space="preserve"> contacts de l’ensemble des PHFE avec des lobbyistes et autres tiers. </w:t>
          </w:r>
          <w:r w:rsidR="00790FE2" w:rsidRPr="00406EBF">
            <w:rPr>
              <w:rFonts w:cstheme="minorHAnsi"/>
              <w:sz w:val="23"/>
              <w:szCs w:val="23"/>
            </w:rPr>
            <w:t>Ces contacts doivent également être rendus plus transparents. A cet égard, i</w:t>
          </w:r>
          <w:r w:rsidRPr="00406EBF">
            <w:rPr>
              <w:rFonts w:cstheme="minorHAnsi"/>
              <w:sz w:val="23"/>
              <w:szCs w:val="23"/>
            </w:rPr>
            <w:t xml:space="preserve">l est à noter qu’une proposition de loi a été déposée pour instaurer un registre des lobbies visant le gouvernement, mais cette proposition </w:t>
          </w:r>
          <w:r w:rsidR="00687701">
            <w:rPr>
              <w:rFonts w:cstheme="minorHAnsi"/>
              <w:sz w:val="23"/>
              <w:szCs w:val="23"/>
            </w:rPr>
            <w:t>est devenue caduque suite à la fin de la législature précédente</w:t>
          </w:r>
          <w:r w:rsidRPr="00406EBF">
            <w:rPr>
              <w:rFonts w:cstheme="minorHAnsi"/>
              <w:sz w:val="23"/>
              <w:szCs w:val="23"/>
            </w:rPr>
            <w:t xml:space="preserve">. </w:t>
          </w:r>
          <w:r w:rsidR="00790FE2" w:rsidRPr="00406EBF">
            <w:rPr>
              <w:rFonts w:cstheme="minorHAnsi"/>
              <w:sz w:val="23"/>
              <w:szCs w:val="23"/>
            </w:rPr>
            <w:t xml:space="preserve">Le Service Public Fédéral de la Justice a quant à lui, de sa propre initiative, nommé tous les experts ayant été consultés sur un projet de loi. Il s’agit là d’une bonne pratique à saluer et qui mériterait d’être généralisée. </w:t>
          </w:r>
          <w:r w:rsidR="00790FE2" w:rsidRPr="00406EBF">
            <w:rPr>
              <w:rFonts w:cstheme="minorHAnsi"/>
              <w:b/>
              <w:sz w:val="23"/>
              <w:szCs w:val="23"/>
            </w:rPr>
            <w:t xml:space="preserve">Le GRECO recommande </w:t>
          </w:r>
          <w:bookmarkStart w:id="50" w:name="_Hlk26528622"/>
          <w:r w:rsidR="00790FE2" w:rsidRPr="00406EBF">
            <w:rPr>
              <w:rFonts w:cstheme="minorHAnsi"/>
              <w:b/>
              <w:sz w:val="23"/>
              <w:szCs w:val="23"/>
            </w:rPr>
            <w:t>(i) d’introduire des règles et lignes directrices relatives à la manière dont les personnes occupant de hautes fonctions de l’exécutif gèrent leurs contacts avec des lobbyistes et d’autres tiers cherchant à influencer les processus et les décisions du gouvernement ; et (ii) renforcer la transparence sur l’objet de ces contacts, comme l’identité des personnes avec lesquelles (ou pour le compte desquelles) la rencontre a eu lieu et l’objet précis de ces discussions</w:t>
          </w:r>
          <w:bookmarkEnd w:id="50"/>
          <w:r w:rsidR="00790FE2" w:rsidRPr="00406EBF">
            <w:rPr>
              <w:rFonts w:cstheme="minorHAnsi"/>
              <w:b/>
              <w:sz w:val="23"/>
              <w:szCs w:val="23"/>
            </w:rPr>
            <w:t xml:space="preserve">. </w:t>
          </w:r>
        </w:p>
        <w:p w14:paraId="35D597A6" w14:textId="77777777" w:rsidR="004738F1" w:rsidRPr="00406EBF" w:rsidRDefault="004738F1" w:rsidP="001878CC">
          <w:pPr>
            <w:spacing w:line="240" w:lineRule="auto"/>
            <w:jc w:val="both"/>
            <w:rPr>
              <w:rFonts w:cstheme="minorHAnsi"/>
              <w:sz w:val="23"/>
              <w:szCs w:val="23"/>
            </w:rPr>
          </w:pPr>
        </w:p>
        <w:p w14:paraId="5E27948B"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51" w:name="_Toc2777390"/>
          <w:bookmarkStart w:id="52" w:name="_Toc21339564"/>
          <w:r w:rsidRPr="00406EBF">
            <w:rPr>
              <w:rFonts w:asciiTheme="minorHAnsi" w:hAnsiTheme="minorHAnsi" w:cstheme="minorHAnsi"/>
              <w:b w:val="0"/>
              <w:i/>
              <w:color w:val="auto"/>
              <w:sz w:val="23"/>
              <w:szCs w:val="23"/>
            </w:rPr>
            <w:t>Mécanismes de contrôle</w:t>
          </w:r>
          <w:bookmarkEnd w:id="51"/>
          <w:bookmarkEnd w:id="52"/>
        </w:p>
        <w:p w14:paraId="2F7A7F26" w14:textId="77777777" w:rsidR="00612B1E" w:rsidRPr="00406EBF" w:rsidRDefault="00612B1E" w:rsidP="001878CC">
          <w:pPr>
            <w:spacing w:line="240" w:lineRule="auto"/>
            <w:jc w:val="both"/>
            <w:rPr>
              <w:i/>
              <w:sz w:val="23"/>
              <w:szCs w:val="23"/>
            </w:rPr>
          </w:pPr>
        </w:p>
        <w:p w14:paraId="096CA8CE" w14:textId="77777777" w:rsidR="0068160C" w:rsidRPr="00406EBF" w:rsidRDefault="0068160C" w:rsidP="0068160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Pour les autorités publiques fédérales, les responsabilités en matière de </w:t>
          </w:r>
          <w:r w:rsidRPr="00406EBF">
            <w:rPr>
              <w:rFonts w:cstheme="minorHAnsi"/>
              <w:sz w:val="23"/>
              <w:szCs w:val="23"/>
              <w:u w:val="single"/>
            </w:rPr>
            <w:t>contrôle interne</w:t>
          </w:r>
          <w:r w:rsidRPr="00406EBF">
            <w:rPr>
              <w:rFonts w:cstheme="minorHAnsi"/>
              <w:sz w:val="23"/>
              <w:szCs w:val="23"/>
            </w:rPr>
            <w:t xml:space="preserve"> sont fixées dans l’Arrêté royal du 17 août 2007 relatif aux activités d’audit interne dans certains services du pouvoir exécutif fédéral</w:t>
          </w:r>
          <w:r w:rsidRPr="00406EBF">
            <w:rPr>
              <w:rFonts w:cstheme="minorHAnsi"/>
              <w:sz w:val="23"/>
              <w:szCs w:val="23"/>
              <w:vertAlign w:val="superscript"/>
            </w:rPr>
            <w:footnoteReference w:id="25"/>
          </w:r>
          <w:r w:rsidRPr="00406EBF">
            <w:rPr>
              <w:rFonts w:cstheme="minorHAnsi"/>
              <w:sz w:val="23"/>
              <w:szCs w:val="23"/>
            </w:rPr>
            <w:t>. Il y est précisé que le contrôle interne est de la responsabilité de tous au sein de l'organisation, des responsabilités spécifiques incombant aux dirigeants et aux titulaires d'une fonction de management</w:t>
          </w:r>
          <w:r w:rsidR="00C616A3">
            <w:rPr>
              <w:rFonts w:cstheme="minorHAnsi"/>
              <w:sz w:val="23"/>
              <w:szCs w:val="23"/>
            </w:rPr>
            <w:t>.</w:t>
          </w:r>
        </w:p>
        <w:p w14:paraId="28948BB4" w14:textId="77777777" w:rsidR="0068160C" w:rsidRPr="00406EBF" w:rsidRDefault="0068160C" w:rsidP="0068160C">
          <w:pPr>
            <w:spacing w:line="240" w:lineRule="auto"/>
            <w:jc w:val="both"/>
            <w:rPr>
              <w:rFonts w:cstheme="minorHAnsi"/>
              <w:sz w:val="23"/>
              <w:szCs w:val="23"/>
            </w:rPr>
          </w:pPr>
        </w:p>
        <w:p w14:paraId="65C039F3" w14:textId="77777777" w:rsidR="00222B46" w:rsidRPr="00406EBF" w:rsidRDefault="00345E86" w:rsidP="00222B4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w:t>
          </w:r>
          <w:r w:rsidRPr="00406EBF">
            <w:rPr>
              <w:rFonts w:cstheme="minorHAnsi"/>
              <w:sz w:val="23"/>
              <w:szCs w:val="23"/>
              <w:u w:val="single"/>
            </w:rPr>
            <w:t>Service</w:t>
          </w:r>
          <w:r w:rsidR="00222B46" w:rsidRPr="00406EBF">
            <w:rPr>
              <w:rFonts w:cstheme="minorHAnsi"/>
              <w:sz w:val="23"/>
              <w:szCs w:val="23"/>
              <w:u w:val="single"/>
            </w:rPr>
            <w:t xml:space="preserve"> fédéral</w:t>
          </w:r>
          <w:r w:rsidRPr="00406EBF">
            <w:rPr>
              <w:rFonts w:cstheme="minorHAnsi"/>
              <w:sz w:val="23"/>
              <w:szCs w:val="23"/>
              <w:u w:val="single"/>
            </w:rPr>
            <w:t xml:space="preserve"> d’audit interne </w:t>
          </w:r>
          <w:r w:rsidRPr="00406EBF">
            <w:rPr>
              <w:rFonts w:cstheme="minorHAnsi"/>
              <w:sz w:val="23"/>
              <w:szCs w:val="23"/>
            </w:rPr>
            <w:t>(F</w:t>
          </w:r>
          <w:r w:rsidR="00222B46" w:rsidRPr="00406EBF">
            <w:rPr>
              <w:rFonts w:cstheme="minorHAnsi"/>
              <w:sz w:val="23"/>
              <w:szCs w:val="23"/>
            </w:rPr>
            <w:t>AI</w:t>
          </w:r>
          <w:r w:rsidRPr="00406EBF">
            <w:rPr>
              <w:rFonts w:cstheme="minorHAnsi"/>
              <w:sz w:val="23"/>
              <w:szCs w:val="23"/>
            </w:rPr>
            <w:t>) évalue, au sein des services publics fédéraux, la fiabilité du système de contrôle interne, la gestion des risques et la bonne gouvernance. Les résultats des audits donnent lieu à un dialogue entre les auditeurs et les dirigeants du service et le cas échéant, avec le responsable de la division concernée du service, et débouchent sur la formulation de recommandations en vue d’améliorer le système de contrôle et de corriger ses failles. Ces recommandations sont adressées au dirigeant de chaque service et au management concerné. Un résumé est transmis au ministre compétent pour le service évalué. L</w:t>
          </w:r>
          <w:r w:rsidR="00222B46" w:rsidRPr="00406EBF">
            <w:rPr>
              <w:rFonts w:cstheme="minorHAnsi"/>
              <w:sz w:val="23"/>
              <w:szCs w:val="23"/>
            </w:rPr>
            <w:t>e FAI</w:t>
          </w:r>
          <w:r w:rsidRPr="00406EBF">
            <w:rPr>
              <w:rFonts w:cstheme="minorHAnsi"/>
              <w:sz w:val="23"/>
              <w:szCs w:val="23"/>
            </w:rPr>
            <w:t xml:space="preserve"> exerce ses activités sous la surveillance du Comité d’audit de l’administration fédérale.</w:t>
          </w:r>
        </w:p>
        <w:p w14:paraId="1A7C1D02" w14:textId="77777777" w:rsidR="00222B46" w:rsidRPr="00406EBF" w:rsidRDefault="00222B46" w:rsidP="00222B46">
          <w:pPr>
            <w:pStyle w:val="Paragraphedeliste"/>
            <w:rPr>
              <w:rFonts w:cstheme="minorHAnsi"/>
              <w:sz w:val="23"/>
              <w:szCs w:val="23"/>
            </w:rPr>
          </w:pPr>
        </w:p>
        <w:p w14:paraId="2671A7A0" w14:textId="77777777" w:rsidR="0068160C" w:rsidRPr="00406EBF" w:rsidRDefault="0068160C" w:rsidP="0068160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w:t>
          </w:r>
          <w:r w:rsidRPr="00406EBF">
            <w:rPr>
              <w:rFonts w:cstheme="minorHAnsi"/>
              <w:sz w:val="23"/>
              <w:szCs w:val="23"/>
              <w:u w:val="single"/>
            </w:rPr>
            <w:t>Comité d’audit de l’Administration fédérale (CAAF)</w:t>
          </w:r>
          <w:r w:rsidRPr="00406EBF">
            <w:rPr>
              <w:rFonts w:cstheme="minorHAnsi"/>
              <w:sz w:val="23"/>
              <w:szCs w:val="23"/>
            </w:rPr>
            <w:t xml:space="preserve"> reçoit et évalue les rapports annuels des dirigeants sur le contrôle interne. Sur la base de ces rapports, le CAAF transmet, d’une part, des rapports individuels assortis de recommandations d’amélioration aux organisations fédérales individuelles et aux ministres compétents concernés. D’autre part, il établit un rapport global destiné au gouvernement, lequel fournit un aperçu et un état des lieux du contrôle interne au niveau fédéral.</w:t>
          </w:r>
        </w:p>
        <w:p w14:paraId="71386D0E" w14:textId="77777777" w:rsidR="0068160C" w:rsidRPr="00406EBF" w:rsidRDefault="0068160C" w:rsidP="0068160C">
          <w:pPr>
            <w:tabs>
              <w:tab w:val="left" w:pos="709"/>
            </w:tabs>
            <w:spacing w:line="240" w:lineRule="auto"/>
            <w:jc w:val="both"/>
            <w:rPr>
              <w:rFonts w:cstheme="minorHAnsi"/>
              <w:sz w:val="23"/>
              <w:szCs w:val="23"/>
            </w:rPr>
          </w:pPr>
        </w:p>
        <w:p w14:paraId="1CBC9A50" w14:textId="3ABDC0AF" w:rsidR="008D7650" w:rsidRPr="00406EBF" w:rsidRDefault="008D7650" w:rsidP="008D765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w:t>
          </w:r>
          <w:r w:rsidR="00951418">
            <w:rPr>
              <w:rFonts w:cstheme="minorHAnsi"/>
              <w:sz w:val="23"/>
              <w:szCs w:val="23"/>
            </w:rPr>
            <w:t>projets de décisions</w:t>
          </w:r>
          <w:r w:rsidR="00951418" w:rsidRPr="00406EBF">
            <w:rPr>
              <w:rFonts w:cstheme="minorHAnsi"/>
              <w:sz w:val="23"/>
              <w:szCs w:val="23"/>
            </w:rPr>
            <w:t xml:space="preserve"> </w:t>
          </w:r>
          <w:r w:rsidRPr="00406EBF">
            <w:rPr>
              <w:rFonts w:cstheme="minorHAnsi"/>
              <w:sz w:val="23"/>
              <w:szCs w:val="23"/>
            </w:rPr>
            <w:t>qui dépassent un certain seuil financier</w:t>
          </w:r>
          <w:r w:rsidR="00951418">
            <w:rPr>
              <w:rStyle w:val="Appelnotedebasdep"/>
              <w:rFonts w:cstheme="minorHAnsi"/>
              <w:sz w:val="23"/>
              <w:szCs w:val="23"/>
            </w:rPr>
            <w:footnoteReference w:id="26"/>
          </w:r>
          <w:r w:rsidRPr="00406EBF">
            <w:rPr>
              <w:rFonts w:cstheme="minorHAnsi"/>
              <w:sz w:val="23"/>
              <w:szCs w:val="23"/>
            </w:rPr>
            <w:t xml:space="preserve"> et/ou qui comportent une obligation de soumettre une décision à la signature du ministre du </w:t>
          </w:r>
          <w:r w:rsidR="004F29FA" w:rsidRPr="00406EBF">
            <w:rPr>
              <w:rFonts w:cstheme="minorHAnsi"/>
              <w:sz w:val="23"/>
              <w:szCs w:val="23"/>
            </w:rPr>
            <w:t>b</w:t>
          </w:r>
          <w:r w:rsidRPr="00406EBF">
            <w:rPr>
              <w:rFonts w:cstheme="minorHAnsi"/>
              <w:sz w:val="23"/>
              <w:szCs w:val="23"/>
            </w:rPr>
            <w:t xml:space="preserve">udget, du ministre de la </w:t>
          </w:r>
          <w:r w:rsidR="004F29FA" w:rsidRPr="00406EBF">
            <w:rPr>
              <w:rFonts w:cstheme="minorHAnsi"/>
              <w:sz w:val="23"/>
              <w:szCs w:val="23"/>
            </w:rPr>
            <w:lastRenderedPageBreak/>
            <w:t>f</w:t>
          </w:r>
          <w:r w:rsidRPr="00406EBF">
            <w:rPr>
              <w:rFonts w:cstheme="minorHAnsi"/>
              <w:sz w:val="23"/>
              <w:szCs w:val="23"/>
            </w:rPr>
            <w:t xml:space="preserve">onction publique ou à l’approbation du Conseil des Ministres font l’objet d’un contrôle </w:t>
          </w:r>
          <w:r w:rsidRPr="00A712BB">
            <w:rPr>
              <w:rFonts w:cstheme="minorHAnsi"/>
              <w:i/>
              <w:sz w:val="23"/>
              <w:szCs w:val="23"/>
            </w:rPr>
            <w:t>ex ante</w:t>
          </w:r>
          <w:r w:rsidRPr="00406EBF">
            <w:rPr>
              <w:rFonts w:cstheme="minorHAnsi"/>
              <w:sz w:val="23"/>
              <w:szCs w:val="23"/>
            </w:rPr>
            <w:t xml:space="preserve"> par l’</w:t>
          </w:r>
          <w:r w:rsidRPr="00406EBF">
            <w:rPr>
              <w:rFonts w:cstheme="minorHAnsi"/>
              <w:sz w:val="23"/>
              <w:szCs w:val="23"/>
              <w:u w:val="single"/>
            </w:rPr>
            <w:t>Inspection des Finances</w:t>
          </w:r>
          <w:r w:rsidR="004C6669" w:rsidRPr="00406EBF">
            <w:rPr>
              <w:rFonts w:cstheme="minorHAnsi"/>
              <w:sz w:val="23"/>
              <w:szCs w:val="23"/>
            </w:rPr>
            <w:t xml:space="preserve"> (IF)</w:t>
          </w:r>
          <w:r w:rsidRPr="00406EBF">
            <w:rPr>
              <w:rFonts w:cstheme="minorHAnsi"/>
              <w:sz w:val="23"/>
              <w:szCs w:val="23"/>
            </w:rPr>
            <w:t>. Ce contrôle ne se limite pas aux aspects budgétaires, mais comporte aussi notamment le respect des dispositions légales visant à prévenir la corruption en matière de marchés publics. Le contrôle de l’Inspecteur des Finances peut déboucher sur un avis favorable, un avis défavorable (en principe bloquant) ou un avis conditionnel (c’est-à-dire défavorable sauf si le proposant prend des mesures qu’il juge de nature à répondre aux réserves formulées par l’IF</w:t>
          </w:r>
          <w:r w:rsidR="00222B46" w:rsidRPr="00406EBF">
            <w:rPr>
              <w:rFonts w:cstheme="minorHAnsi"/>
              <w:sz w:val="23"/>
              <w:szCs w:val="23"/>
            </w:rPr>
            <w:t>)</w:t>
          </w:r>
          <w:r w:rsidRPr="00406EBF">
            <w:rPr>
              <w:rFonts w:cstheme="minorHAnsi"/>
              <w:sz w:val="23"/>
              <w:szCs w:val="23"/>
            </w:rPr>
            <w:t>.</w:t>
          </w:r>
        </w:p>
        <w:p w14:paraId="0A78BC04" w14:textId="77777777" w:rsidR="004C6669" w:rsidRPr="00406EBF" w:rsidRDefault="004C6669" w:rsidP="004C6669">
          <w:pPr>
            <w:tabs>
              <w:tab w:val="left" w:pos="709"/>
            </w:tabs>
            <w:spacing w:line="240" w:lineRule="auto"/>
            <w:jc w:val="both"/>
            <w:rPr>
              <w:rFonts w:cstheme="minorHAnsi"/>
              <w:sz w:val="23"/>
              <w:szCs w:val="23"/>
            </w:rPr>
          </w:pPr>
        </w:p>
        <w:p w14:paraId="54D1ADD5" w14:textId="77777777" w:rsidR="008D7650" w:rsidRPr="00406EBF" w:rsidRDefault="00222B46" w:rsidP="008D765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P</w:t>
          </w:r>
          <w:r w:rsidR="008D7650" w:rsidRPr="00406EBF">
            <w:rPr>
              <w:rFonts w:cstheme="minorHAnsi"/>
              <w:sz w:val="23"/>
              <w:szCs w:val="23"/>
            </w:rPr>
            <w:t xml:space="preserve">our que puisse être levé un blocage lié à un avis défavorable ou au fait que le proposant </w:t>
          </w:r>
          <w:r w:rsidRPr="00406EBF">
            <w:rPr>
              <w:rFonts w:cstheme="minorHAnsi"/>
              <w:sz w:val="23"/>
              <w:szCs w:val="23"/>
            </w:rPr>
            <w:t xml:space="preserve">ne remplisse pas </w:t>
          </w:r>
          <w:r w:rsidR="008D7650" w:rsidRPr="00406EBF">
            <w:rPr>
              <w:rFonts w:cstheme="minorHAnsi"/>
              <w:sz w:val="23"/>
              <w:szCs w:val="23"/>
            </w:rPr>
            <w:t xml:space="preserve">les conditions prévues par un avis conditionnel, il convient de faire remonter le dossier au </w:t>
          </w:r>
          <w:r w:rsidR="004F29FA" w:rsidRPr="00406EBF">
            <w:rPr>
              <w:rFonts w:cstheme="minorHAnsi"/>
              <w:sz w:val="23"/>
              <w:szCs w:val="23"/>
            </w:rPr>
            <w:t>m</w:t>
          </w:r>
          <w:r w:rsidR="008D7650" w:rsidRPr="00406EBF">
            <w:rPr>
              <w:rFonts w:cstheme="minorHAnsi"/>
              <w:sz w:val="23"/>
              <w:szCs w:val="23"/>
            </w:rPr>
            <w:t xml:space="preserve">inistre en charge du département, </w:t>
          </w:r>
          <w:r w:rsidR="004F29FA" w:rsidRPr="00406EBF">
            <w:rPr>
              <w:rFonts w:cstheme="minorHAnsi"/>
              <w:sz w:val="23"/>
              <w:szCs w:val="23"/>
            </w:rPr>
            <w:t xml:space="preserve">aux fins d’un </w:t>
          </w:r>
          <w:r w:rsidR="008D7650" w:rsidRPr="00406EBF">
            <w:rPr>
              <w:rFonts w:cstheme="minorHAnsi"/>
              <w:sz w:val="23"/>
              <w:szCs w:val="23"/>
            </w:rPr>
            <w:t xml:space="preserve">recours motivé au </w:t>
          </w:r>
          <w:r w:rsidR="004F29FA" w:rsidRPr="00406EBF">
            <w:rPr>
              <w:rFonts w:cstheme="minorHAnsi"/>
              <w:sz w:val="23"/>
              <w:szCs w:val="23"/>
            </w:rPr>
            <w:t>m</w:t>
          </w:r>
          <w:r w:rsidR="008D7650" w:rsidRPr="00406EBF">
            <w:rPr>
              <w:rFonts w:cstheme="minorHAnsi"/>
              <w:sz w:val="23"/>
              <w:szCs w:val="23"/>
            </w:rPr>
            <w:t>inistre du</w:t>
          </w:r>
          <w:r w:rsidR="004F29FA" w:rsidRPr="00406EBF">
            <w:rPr>
              <w:rFonts w:cstheme="minorHAnsi"/>
              <w:sz w:val="23"/>
              <w:szCs w:val="23"/>
            </w:rPr>
            <w:t xml:space="preserve"> b</w:t>
          </w:r>
          <w:r w:rsidR="008D7650" w:rsidRPr="00406EBF">
            <w:rPr>
              <w:rFonts w:cstheme="minorHAnsi"/>
              <w:sz w:val="23"/>
              <w:szCs w:val="23"/>
            </w:rPr>
            <w:t xml:space="preserve">udget ou, le cas échéant, au </w:t>
          </w:r>
          <w:r w:rsidR="004F29FA" w:rsidRPr="00406EBF">
            <w:rPr>
              <w:rFonts w:cstheme="minorHAnsi"/>
              <w:sz w:val="23"/>
              <w:szCs w:val="23"/>
            </w:rPr>
            <w:t>m</w:t>
          </w:r>
          <w:r w:rsidR="008D7650" w:rsidRPr="00406EBF">
            <w:rPr>
              <w:rFonts w:cstheme="minorHAnsi"/>
              <w:sz w:val="23"/>
              <w:szCs w:val="23"/>
            </w:rPr>
            <w:t xml:space="preserve">inistre de la </w:t>
          </w:r>
          <w:r w:rsidR="004F29FA" w:rsidRPr="00406EBF">
            <w:rPr>
              <w:rFonts w:cstheme="minorHAnsi"/>
              <w:sz w:val="23"/>
              <w:szCs w:val="23"/>
            </w:rPr>
            <w:t>f</w:t>
          </w:r>
          <w:r w:rsidR="008D7650" w:rsidRPr="00406EBF">
            <w:rPr>
              <w:rFonts w:cstheme="minorHAnsi"/>
              <w:sz w:val="23"/>
              <w:szCs w:val="23"/>
            </w:rPr>
            <w:t xml:space="preserve">onction publique. En pratique, dans la mesure où certains dossiers doivent de toute façon être soumis au </w:t>
          </w:r>
          <w:r w:rsidR="004F29FA" w:rsidRPr="00406EBF">
            <w:rPr>
              <w:rFonts w:cstheme="minorHAnsi"/>
              <w:sz w:val="23"/>
              <w:szCs w:val="23"/>
            </w:rPr>
            <w:t>m</w:t>
          </w:r>
          <w:r w:rsidR="008D7650" w:rsidRPr="00406EBF">
            <w:rPr>
              <w:rFonts w:cstheme="minorHAnsi"/>
              <w:sz w:val="23"/>
              <w:szCs w:val="23"/>
            </w:rPr>
            <w:t xml:space="preserve">inistre du </w:t>
          </w:r>
          <w:r w:rsidR="004F29FA" w:rsidRPr="00406EBF">
            <w:rPr>
              <w:rFonts w:cstheme="minorHAnsi"/>
              <w:sz w:val="23"/>
              <w:szCs w:val="23"/>
            </w:rPr>
            <w:t>b</w:t>
          </w:r>
          <w:r w:rsidR="008D7650" w:rsidRPr="00406EBF">
            <w:rPr>
              <w:rFonts w:cstheme="minorHAnsi"/>
              <w:sz w:val="23"/>
              <w:szCs w:val="23"/>
            </w:rPr>
            <w:t xml:space="preserve">udget ou de la </w:t>
          </w:r>
          <w:r w:rsidR="004F29FA" w:rsidRPr="00406EBF">
            <w:rPr>
              <w:rFonts w:cstheme="minorHAnsi"/>
              <w:sz w:val="23"/>
              <w:szCs w:val="23"/>
            </w:rPr>
            <w:t>f</w:t>
          </w:r>
          <w:r w:rsidR="008D7650" w:rsidRPr="00406EBF">
            <w:rPr>
              <w:rFonts w:cstheme="minorHAnsi"/>
              <w:sz w:val="23"/>
              <w:szCs w:val="23"/>
            </w:rPr>
            <w:t xml:space="preserve">onction publique en raison de leur nature ou des montants en jeu, il arrive que les formalités d’accord ministériel préalable et de recours se trouvent implicitement fusionnées ; autrement dit, on présume que lorsqu’il donne son accord budgétaire sur un dossier qui lui est soumis par un de ses collègues malgré un avis défavorable ou conditionnel de l’IF, le </w:t>
          </w:r>
          <w:r w:rsidR="004F29FA" w:rsidRPr="00406EBF">
            <w:rPr>
              <w:rFonts w:cstheme="minorHAnsi"/>
              <w:sz w:val="23"/>
              <w:szCs w:val="23"/>
            </w:rPr>
            <w:t>m</w:t>
          </w:r>
          <w:r w:rsidR="008D7650" w:rsidRPr="00406EBF">
            <w:rPr>
              <w:rFonts w:cstheme="minorHAnsi"/>
              <w:sz w:val="23"/>
              <w:szCs w:val="23"/>
            </w:rPr>
            <w:t xml:space="preserve">inistre du </w:t>
          </w:r>
          <w:r w:rsidR="004F29FA" w:rsidRPr="00406EBF">
            <w:rPr>
              <w:rFonts w:cstheme="minorHAnsi"/>
              <w:sz w:val="23"/>
              <w:szCs w:val="23"/>
            </w:rPr>
            <w:t>b</w:t>
          </w:r>
          <w:r w:rsidR="008D7650" w:rsidRPr="00406EBF">
            <w:rPr>
              <w:rFonts w:cstheme="minorHAnsi"/>
              <w:sz w:val="23"/>
              <w:szCs w:val="23"/>
            </w:rPr>
            <w:t xml:space="preserve">udget ou de la </w:t>
          </w:r>
          <w:r w:rsidR="004F29FA" w:rsidRPr="00406EBF">
            <w:rPr>
              <w:rFonts w:cstheme="minorHAnsi"/>
              <w:sz w:val="23"/>
              <w:szCs w:val="23"/>
            </w:rPr>
            <w:t>f</w:t>
          </w:r>
          <w:r w:rsidR="008D7650" w:rsidRPr="00406EBF">
            <w:rPr>
              <w:rFonts w:cstheme="minorHAnsi"/>
              <w:sz w:val="23"/>
              <w:szCs w:val="23"/>
            </w:rPr>
            <w:t>onction publique accueille favorablement le recours « implicite » formé par son collègue. Cet usage s’applique en particulier aux dossiers qui doivent être soumis au Conseil des Ministres.</w:t>
          </w:r>
        </w:p>
        <w:p w14:paraId="0B06B00E" w14:textId="77777777" w:rsidR="004C6669" w:rsidRPr="00406EBF" w:rsidRDefault="004C6669" w:rsidP="004C6669">
          <w:pPr>
            <w:pStyle w:val="Paragraphedeliste"/>
            <w:rPr>
              <w:rFonts w:cstheme="minorHAnsi"/>
              <w:sz w:val="23"/>
              <w:szCs w:val="23"/>
            </w:rPr>
          </w:pPr>
        </w:p>
        <w:p w14:paraId="1A9CBD3D" w14:textId="77777777" w:rsidR="004C6669" w:rsidRPr="00406EBF" w:rsidRDefault="004C6669" w:rsidP="004C6669">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Il est interdit de scinder les dossiers afin de contourner les seuils. En outre, dans les périodes de prudence budgétaire et d’affaires courantes, les seuils sont abaissés. Dans pareille situation, le rôle de l’Inspection des Finances consiste, en plus des critères habituels, à vérifier que les propositions restent dans les limites fixées pour la prudence budgétaire (critère que l’exécutif s’impose à lui-même) ou pour les affaires courantes (critère d’origine constitutionnelle).</w:t>
          </w:r>
        </w:p>
        <w:p w14:paraId="0A1490D3" w14:textId="77777777" w:rsidR="004C6669" w:rsidRPr="00406EBF" w:rsidRDefault="004C6669" w:rsidP="004C6669">
          <w:pPr>
            <w:tabs>
              <w:tab w:val="left" w:pos="709"/>
            </w:tabs>
            <w:spacing w:line="240" w:lineRule="auto"/>
            <w:jc w:val="both"/>
            <w:rPr>
              <w:rFonts w:cstheme="minorHAnsi"/>
              <w:sz w:val="23"/>
              <w:szCs w:val="23"/>
            </w:rPr>
          </w:pPr>
        </w:p>
        <w:p w14:paraId="5204A2F4" w14:textId="77777777" w:rsidR="008D7650" w:rsidRDefault="004C6669" w:rsidP="004C6669">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Par ailleurs, les ministres peuvent charger l’Inspection des Finances d’enquêtes, qui peuvent avoir pour objet de déterminer si une procédure a comporté des irrégularités et de les identifier. </w:t>
          </w:r>
        </w:p>
        <w:p w14:paraId="16EC3C3E" w14:textId="77777777" w:rsidR="00951418" w:rsidRDefault="00951418" w:rsidP="00862647">
          <w:pPr>
            <w:pStyle w:val="Paragraphedeliste"/>
            <w:rPr>
              <w:rFonts w:cstheme="minorHAnsi"/>
              <w:sz w:val="23"/>
              <w:szCs w:val="23"/>
            </w:rPr>
          </w:pPr>
        </w:p>
        <w:p w14:paraId="7FCFC294" w14:textId="77777777" w:rsidR="00951418" w:rsidRPr="00406EBF" w:rsidRDefault="00E55A63" w:rsidP="004C6669">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 xml:space="preserve">Le </w:t>
          </w:r>
          <w:r w:rsidRPr="00E55A63">
            <w:rPr>
              <w:rFonts w:cstheme="minorHAnsi"/>
              <w:sz w:val="23"/>
              <w:szCs w:val="23"/>
              <w:u w:val="single"/>
            </w:rPr>
            <w:t>contrôleur des engagements</w:t>
          </w:r>
          <w:r>
            <w:rPr>
              <w:rFonts w:cstheme="minorHAnsi"/>
              <w:sz w:val="23"/>
              <w:szCs w:val="23"/>
            </w:rPr>
            <w:t xml:space="preserve"> vérifie l’imputation correcte des dépenses et le non-dépassement des crédits, ainsi que le respect des dispositions réglementaires ayant mené à la dépense. Il délivre un visa préalable donné en engagement, qui permet de réserver les crédits budgétaires nécessaires aux dépenses, ainsi qu’à un visa en liquidation déterminant que la prestation demandée a bien été effectuée. Les dépenses inférieures à seuil déterminé sont toutefois exemptées du visa préalable.  En outre, le contrôleur est censé suivre de près le rythme des engagements et des liquidations et signaler au ministre du Budget toute anomalie du rythme de consommation. Les contrôleurs sont désignés par le Roi sur proposition du ministre du Budget.</w:t>
          </w:r>
        </w:p>
        <w:p w14:paraId="6068A079" w14:textId="77777777" w:rsidR="008D7650" w:rsidRPr="00406EBF" w:rsidRDefault="008D7650" w:rsidP="008D7650">
          <w:pPr>
            <w:spacing w:line="240" w:lineRule="auto"/>
            <w:jc w:val="both"/>
            <w:rPr>
              <w:rFonts w:cstheme="minorHAnsi"/>
              <w:sz w:val="23"/>
              <w:szCs w:val="23"/>
            </w:rPr>
          </w:pPr>
        </w:p>
        <w:p w14:paraId="28E133C6" w14:textId="77777777" w:rsidR="00D97B7F" w:rsidRPr="00406EBF" w:rsidRDefault="001038F0" w:rsidP="00D97B7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w:t>
          </w:r>
          <w:r w:rsidRPr="00406EBF">
            <w:rPr>
              <w:rFonts w:cstheme="minorHAnsi"/>
              <w:sz w:val="23"/>
              <w:szCs w:val="23"/>
              <w:u w:val="single"/>
            </w:rPr>
            <w:t>Cour des comptes</w:t>
          </w:r>
          <w:r w:rsidRPr="00406EBF">
            <w:rPr>
              <w:rFonts w:cstheme="minorHAnsi"/>
              <w:sz w:val="23"/>
              <w:szCs w:val="23"/>
            </w:rPr>
            <w:t xml:space="preserve"> exerce un contrôle financier, un contrôle de légalité et un contrôle du bon emploi des deniers publics. Ses vérifications concernent les dépenses et les recettes des gouvernements fédéral, communautaires et régionaux, ainsi que des provinces. Les résultats de ces trois formes de contrôle donnent lieu à une information adressée régulièrement aux assemblées parlementaires. Toutes les publications de la Cour des comptes sont disponibles sur son site web</w:t>
          </w:r>
          <w:r w:rsidRPr="00406EBF">
            <w:rPr>
              <w:rStyle w:val="Appelnotedebasdep"/>
              <w:rFonts w:cstheme="minorHAnsi"/>
              <w:sz w:val="23"/>
              <w:szCs w:val="23"/>
            </w:rPr>
            <w:footnoteReference w:id="27"/>
          </w:r>
          <w:r w:rsidR="00457A18" w:rsidRPr="00406EBF">
            <w:rPr>
              <w:rFonts w:cstheme="minorHAnsi"/>
              <w:sz w:val="23"/>
              <w:szCs w:val="23"/>
            </w:rPr>
            <w:t xml:space="preserve"> et/ou sur les sites des assemblées parlementaires.</w:t>
          </w:r>
        </w:p>
        <w:p w14:paraId="628C0965" w14:textId="77777777" w:rsidR="008F4D6B" w:rsidRPr="00406EBF" w:rsidRDefault="008F4D6B" w:rsidP="0009124B">
          <w:pPr>
            <w:rPr>
              <w:sz w:val="21"/>
              <w:szCs w:val="21"/>
            </w:rPr>
          </w:pPr>
        </w:p>
        <w:p w14:paraId="3151590F" w14:textId="77777777" w:rsidR="00D97B7F" w:rsidRPr="00406EBF" w:rsidRDefault="00D97B7F" w:rsidP="001038F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w:t>
          </w:r>
          <w:r w:rsidRPr="00406EBF">
            <w:rPr>
              <w:rFonts w:cstheme="minorHAnsi"/>
              <w:sz w:val="23"/>
              <w:szCs w:val="23"/>
              <w:u w:val="single"/>
            </w:rPr>
            <w:t>Chambre des représentants</w:t>
          </w:r>
          <w:r w:rsidRPr="00406EBF">
            <w:rPr>
              <w:rFonts w:cstheme="minorHAnsi"/>
              <w:sz w:val="23"/>
              <w:szCs w:val="23"/>
            </w:rPr>
            <w:t xml:space="preserve"> dispose d’un droit d’information et d’un droit de contrôle du gouvernement fédéral. Elle peut s’informer auprès des ministres sur la gestion de l’Etat :</w:t>
          </w:r>
        </w:p>
        <w:p w14:paraId="18D26779" w14:textId="77777777" w:rsidR="00D97B7F" w:rsidRPr="00406EBF" w:rsidRDefault="00D97B7F" w:rsidP="00D97B7F">
          <w:pPr>
            <w:pStyle w:val="Paragraphedeliste"/>
            <w:rPr>
              <w:rFonts w:cstheme="minorHAnsi"/>
              <w:sz w:val="23"/>
              <w:szCs w:val="23"/>
            </w:rPr>
          </w:pPr>
        </w:p>
        <w:p w14:paraId="5AD84A52" w14:textId="77777777" w:rsidR="00D97B7F" w:rsidRPr="00406EBF" w:rsidRDefault="00D97B7F" w:rsidP="00CA73E1">
          <w:pPr>
            <w:pStyle w:val="Paragraphedeliste"/>
            <w:numPr>
              <w:ilvl w:val="0"/>
              <w:numId w:val="15"/>
            </w:numPr>
            <w:spacing w:line="252" w:lineRule="auto"/>
            <w:jc w:val="both"/>
            <w:rPr>
              <w:rFonts w:cstheme="minorHAnsi"/>
              <w:sz w:val="23"/>
              <w:szCs w:val="23"/>
            </w:rPr>
          </w:pPr>
          <w:r w:rsidRPr="00406EBF">
            <w:rPr>
              <w:rFonts w:cstheme="minorHAnsi"/>
              <w:sz w:val="23"/>
              <w:szCs w:val="23"/>
            </w:rPr>
            <w:t>Les députés peuvent poser des questions écrites et orales aux ministres. Conformément au Règlement du Sénat, et depuis la sixième réforme de l’État (2014), les sénateurs ne peuvent plus poser que des questions écrites aux membres du gouvernement ;</w:t>
          </w:r>
        </w:p>
        <w:p w14:paraId="36A822ED" w14:textId="77777777" w:rsidR="00D97B7F" w:rsidRPr="00406EBF" w:rsidRDefault="00D97B7F" w:rsidP="00CA73E1">
          <w:pPr>
            <w:pStyle w:val="Paragraphedeliste"/>
            <w:numPr>
              <w:ilvl w:val="0"/>
              <w:numId w:val="15"/>
            </w:numPr>
            <w:spacing w:line="252" w:lineRule="auto"/>
            <w:jc w:val="both"/>
            <w:rPr>
              <w:rFonts w:cstheme="minorHAnsi"/>
              <w:sz w:val="23"/>
              <w:szCs w:val="23"/>
            </w:rPr>
          </w:pPr>
          <w:r w:rsidRPr="00406EBF">
            <w:rPr>
              <w:rFonts w:cstheme="minorHAnsi"/>
              <w:sz w:val="23"/>
              <w:szCs w:val="23"/>
            </w:rPr>
            <w:t>La Chambre a également le droit d’enquête et peut donc créer des commissions d’enquête (art</w:t>
          </w:r>
          <w:r w:rsidR="00A712BB">
            <w:rPr>
              <w:rFonts w:cstheme="minorHAnsi"/>
              <w:sz w:val="23"/>
              <w:szCs w:val="23"/>
            </w:rPr>
            <w:t>.</w:t>
          </w:r>
          <w:r w:rsidRPr="00406EBF">
            <w:rPr>
              <w:rFonts w:cstheme="minorHAnsi"/>
              <w:sz w:val="23"/>
              <w:szCs w:val="23"/>
            </w:rPr>
            <w:t xml:space="preserve"> 56</w:t>
          </w:r>
          <w:r w:rsidR="00A712BB">
            <w:rPr>
              <w:rFonts w:cstheme="minorHAnsi"/>
              <w:sz w:val="23"/>
              <w:szCs w:val="23"/>
            </w:rPr>
            <w:t xml:space="preserve"> al.1</w:t>
          </w:r>
          <w:r w:rsidRPr="00406EBF">
            <w:rPr>
              <w:rFonts w:cstheme="minorHAnsi"/>
              <w:sz w:val="23"/>
              <w:szCs w:val="23"/>
            </w:rPr>
            <w:t xml:space="preserve"> de la Constitution). Le Sénat n’a pas le droit d’enquête mais il peut, notamment à la demande de la Chambre, établir des rapports d’information sur des questions ayant également des conséquences pour les compétences des communautés et des régions (art</w:t>
          </w:r>
          <w:r w:rsidR="00A712BB">
            <w:rPr>
              <w:rFonts w:cstheme="minorHAnsi"/>
              <w:sz w:val="23"/>
              <w:szCs w:val="23"/>
            </w:rPr>
            <w:t>.</w:t>
          </w:r>
          <w:r w:rsidRPr="00406EBF">
            <w:rPr>
              <w:rFonts w:cstheme="minorHAnsi"/>
              <w:sz w:val="23"/>
              <w:szCs w:val="23"/>
            </w:rPr>
            <w:t xml:space="preserve"> 56, </w:t>
          </w:r>
          <w:r w:rsidR="00A712BB">
            <w:rPr>
              <w:rFonts w:cstheme="minorHAnsi"/>
              <w:sz w:val="23"/>
              <w:szCs w:val="23"/>
            </w:rPr>
            <w:t>al. 2</w:t>
          </w:r>
          <w:r w:rsidRPr="00406EBF">
            <w:rPr>
              <w:rFonts w:cstheme="minorHAnsi"/>
              <w:sz w:val="23"/>
              <w:szCs w:val="23"/>
            </w:rPr>
            <w:t xml:space="preserve"> de la Constitution). Ces commissions d’enquête peuvent examiner des dossiers de l’exécutif.</w:t>
          </w:r>
        </w:p>
        <w:p w14:paraId="6B50B097" w14:textId="77777777" w:rsidR="00CA73E1" w:rsidRPr="00406EBF" w:rsidRDefault="00CA73E1" w:rsidP="00CA73E1">
          <w:pPr>
            <w:spacing w:line="252" w:lineRule="auto"/>
            <w:ind w:left="142"/>
            <w:jc w:val="both"/>
            <w:rPr>
              <w:rFonts w:cstheme="minorHAnsi"/>
              <w:sz w:val="23"/>
              <w:szCs w:val="23"/>
            </w:rPr>
          </w:pPr>
        </w:p>
        <w:p w14:paraId="11939089" w14:textId="77777777" w:rsidR="00D97B7F" w:rsidRPr="00406EBF" w:rsidRDefault="00CA73E1" w:rsidP="001038F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Chambre est aussi exclusivement compétente pour contrôler le gouvernement fédéral (art. 101 de la Constitution) :</w:t>
          </w:r>
        </w:p>
        <w:p w14:paraId="651C9F06" w14:textId="77777777" w:rsidR="00CA73E1" w:rsidRPr="00406EBF" w:rsidRDefault="00CA73E1" w:rsidP="00CA73E1">
          <w:pPr>
            <w:tabs>
              <w:tab w:val="left" w:pos="709"/>
            </w:tabs>
            <w:spacing w:line="240" w:lineRule="auto"/>
            <w:jc w:val="both"/>
            <w:rPr>
              <w:rFonts w:cstheme="minorHAnsi"/>
              <w:sz w:val="23"/>
              <w:szCs w:val="23"/>
            </w:rPr>
          </w:pPr>
        </w:p>
        <w:p w14:paraId="160D9F6B" w14:textId="77777777" w:rsidR="00CA73E1" w:rsidRPr="00406EBF" w:rsidRDefault="00CA73E1" w:rsidP="00CA73E1">
          <w:pPr>
            <w:pStyle w:val="Paragraphedeliste"/>
            <w:numPr>
              <w:ilvl w:val="0"/>
              <w:numId w:val="15"/>
            </w:numPr>
            <w:spacing w:line="252" w:lineRule="auto"/>
            <w:jc w:val="both"/>
            <w:rPr>
              <w:rFonts w:cstheme="minorHAnsi"/>
              <w:sz w:val="23"/>
              <w:szCs w:val="23"/>
            </w:rPr>
          </w:pPr>
          <w:r w:rsidRPr="00406EBF">
            <w:rPr>
              <w:rFonts w:cstheme="minorHAnsi"/>
              <w:sz w:val="23"/>
              <w:szCs w:val="23"/>
            </w:rPr>
            <w:t>La confiance donnée au gouvernement au moment de son installation est conditionnelle et peut toujours être révoquée par une motion de méfiance constructive - c’est-à-dire par la désignation d’un autre premier ministre - ou par le rejet (constructif) d’une motion de confiance ;</w:t>
          </w:r>
        </w:p>
        <w:p w14:paraId="23A9977A" w14:textId="77777777" w:rsidR="00CA73E1" w:rsidRPr="00406EBF" w:rsidRDefault="00CA73E1" w:rsidP="00CA73E1">
          <w:pPr>
            <w:pStyle w:val="Paragraphedeliste"/>
            <w:numPr>
              <w:ilvl w:val="0"/>
              <w:numId w:val="15"/>
            </w:numPr>
            <w:spacing w:line="252" w:lineRule="auto"/>
            <w:jc w:val="both"/>
            <w:rPr>
              <w:rFonts w:cstheme="minorHAnsi"/>
              <w:sz w:val="23"/>
              <w:szCs w:val="23"/>
            </w:rPr>
          </w:pPr>
          <w:r w:rsidRPr="00406EBF">
            <w:rPr>
              <w:rFonts w:cstheme="minorHAnsi"/>
              <w:sz w:val="23"/>
              <w:szCs w:val="23"/>
            </w:rPr>
            <w:t>Tout membre du gouvernement communique son exposé d’orientation politique à la Chambre lors de son entrée en fonction. Ce document contient les options stratégiques et les lignes de force de sa politique en exécution de l’accord de gouvernement. Les commissions compétentes de la Chambre débattent de ces exposés et formulent éventuellement des recommandations ;</w:t>
          </w:r>
        </w:p>
        <w:p w14:paraId="3C24E15D" w14:textId="5DAD4524" w:rsidR="00CA73E1" w:rsidRDefault="00CA73E1" w:rsidP="00CA73E1">
          <w:pPr>
            <w:pStyle w:val="Paragraphedeliste"/>
            <w:numPr>
              <w:ilvl w:val="0"/>
              <w:numId w:val="15"/>
            </w:numPr>
            <w:spacing w:line="252" w:lineRule="auto"/>
            <w:jc w:val="both"/>
            <w:rPr>
              <w:rFonts w:cstheme="minorHAnsi"/>
              <w:sz w:val="23"/>
              <w:szCs w:val="23"/>
            </w:rPr>
          </w:pPr>
          <w:r w:rsidRPr="00406EBF">
            <w:rPr>
              <w:rFonts w:cstheme="minorHAnsi"/>
              <w:sz w:val="23"/>
              <w:szCs w:val="23"/>
            </w:rPr>
            <w:t xml:space="preserve">Le droit d’interpellation, qui est un moyen de contrôle de la politique des ministres, est réservé aux députés. </w:t>
          </w:r>
          <w:r w:rsidR="004F29FA" w:rsidRPr="00406EBF">
            <w:rPr>
              <w:rFonts w:cstheme="minorHAnsi"/>
              <w:sz w:val="23"/>
              <w:szCs w:val="23"/>
            </w:rPr>
            <w:t>U</w:t>
          </w:r>
          <w:r w:rsidRPr="00406EBF">
            <w:rPr>
              <w:rFonts w:cstheme="minorHAnsi"/>
              <w:sz w:val="23"/>
              <w:szCs w:val="23"/>
            </w:rPr>
            <w:t>ne interpellation peut être conclue par le vote d’une motion dans laquelle la confiance est donnée ou non au ministre ou au gouvernement.</w:t>
          </w:r>
        </w:p>
        <w:p w14:paraId="5B426D70" w14:textId="77777777" w:rsidR="0019274D" w:rsidRPr="0019274D" w:rsidRDefault="0019274D" w:rsidP="0019274D">
          <w:pPr>
            <w:spacing w:line="252" w:lineRule="auto"/>
            <w:ind w:left="142"/>
            <w:jc w:val="both"/>
            <w:rPr>
              <w:rFonts w:cstheme="minorHAnsi"/>
              <w:sz w:val="23"/>
              <w:szCs w:val="23"/>
            </w:rPr>
          </w:pPr>
        </w:p>
        <w:p w14:paraId="08C51126" w14:textId="7A139E4F" w:rsidR="00527095" w:rsidRPr="00CA5777" w:rsidRDefault="00CA73E1" w:rsidP="00CA577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Chambre est compétente pour l’adoption ou le rejet des budgets et l’établissement des comptes définitifs (art</w:t>
          </w:r>
          <w:r w:rsidR="00A712BB">
            <w:rPr>
              <w:rFonts w:cstheme="minorHAnsi"/>
              <w:sz w:val="23"/>
              <w:szCs w:val="23"/>
            </w:rPr>
            <w:t>.</w:t>
          </w:r>
          <w:r w:rsidRPr="00406EBF">
            <w:rPr>
              <w:rFonts w:cstheme="minorHAnsi"/>
              <w:sz w:val="23"/>
              <w:szCs w:val="23"/>
            </w:rPr>
            <w:t xml:space="preserve"> </w:t>
          </w:r>
          <w:r w:rsidR="00862647">
            <w:rPr>
              <w:rFonts w:cstheme="minorHAnsi"/>
              <w:sz w:val="23"/>
              <w:szCs w:val="23"/>
            </w:rPr>
            <w:t>1</w:t>
          </w:r>
          <w:r w:rsidRPr="00406EBF">
            <w:rPr>
              <w:rFonts w:cstheme="minorHAnsi"/>
              <w:sz w:val="23"/>
              <w:szCs w:val="23"/>
            </w:rPr>
            <w:t>74 de la Constitution). Les ministres déposent en même temps que leur projet de budget une note de politique générale dans laquelle ils exposent leurs objectifs, réorientations budgétaires, les moyens à mettre en œuvre et le calendrier d’exécution.</w:t>
          </w:r>
        </w:p>
        <w:p w14:paraId="3C5221A1" w14:textId="77777777" w:rsidR="00CA73E1" w:rsidRPr="00406EBF" w:rsidRDefault="00CA73E1" w:rsidP="00CA73E1">
          <w:pPr>
            <w:tabs>
              <w:tab w:val="left" w:pos="709"/>
            </w:tabs>
            <w:spacing w:line="240" w:lineRule="auto"/>
            <w:jc w:val="both"/>
            <w:rPr>
              <w:rFonts w:cstheme="minorHAnsi"/>
              <w:sz w:val="23"/>
              <w:szCs w:val="23"/>
            </w:rPr>
          </w:pPr>
        </w:p>
        <w:p w14:paraId="35E0FA53" w14:textId="77777777" w:rsidR="006608FA" w:rsidRPr="00406EBF" w:rsidRDefault="006608FA" w:rsidP="001878CC">
          <w:pPr>
            <w:pStyle w:val="Titre2"/>
            <w:keepLines w:val="0"/>
            <w:tabs>
              <w:tab w:val="left" w:pos="709"/>
            </w:tabs>
            <w:spacing w:before="0" w:line="240" w:lineRule="auto"/>
            <w:rPr>
              <w:rFonts w:asciiTheme="minorHAnsi" w:hAnsiTheme="minorHAnsi"/>
              <w:color w:val="auto"/>
              <w:sz w:val="23"/>
              <w:szCs w:val="23"/>
              <w:u w:val="single"/>
            </w:rPr>
          </w:pPr>
          <w:bookmarkStart w:id="53" w:name="_Toc342554253"/>
          <w:bookmarkStart w:id="54" w:name="_Toc342640928"/>
          <w:bookmarkStart w:id="55" w:name="_Toc2777391"/>
          <w:bookmarkStart w:id="56" w:name="_Toc21339565"/>
          <w:r w:rsidRPr="00406EBF">
            <w:rPr>
              <w:rFonts w:asciiTheme="minorHAnsi" w:hAnsiTheme="minorHAnsi"/>
              <w:color w:val="auto"/>
              <w:sz w:val="23"/>
              <w:szCs w:val="23"/>
              <w:u w:val="single"/>
            </w:rPr>
            <w:t xml:space="preserve">Conflits </w:t>
          </w:r>
          <w:bookmarkEnd w:id="53"/>
          <w:bookmarkEnd w:id="54"/>
          <w:r w:rsidRPr="00406EBF">
            <w:rPr>
              <w:rFonts w:asciiTheme="minorHAnsi" w:hAnsiTheme="minorHAnsi"/>
              <w:color w:val="auto"/>
              <w:sz w:val="23"/>
              <w:szCs w:val="23"/>
              <w:u w:val="single"/>
            </w:rPr>
            <w:t>d’intérêts</w:t>
          </w:r>
          <w:bookmarkEnd w:id="55"/>
          <w:bookmarkEnd w:id="56"/>
        </w:p>
        <w:p w14:paraId="12F01E04" w14:textId="77777777" w:rsidR="006608FA" w:rsidRPr="00406EBF" w:rsidRDefault="006608FA" w:rsidP="001878CC">
          <w:pPr>
            <w:spacing w:line="240" w:lineRule="auto"/>
            <w:jc w:val="both"/>
            <w:rPr>
              <w:rFonts w:cstheme="minorHAnsi"/>
              <w:sz w:val="23"/>
              <w:szCs w:val="23"/>
            </w:rPr>
          </w:pPr>
        </w:p>
        <w:p w14:paraId="20BC4D75" w14:textId="3C3CA0CA" w:rsidR="00612B1E" w:rsidRPr="00406EBF" w:rsidRDefault="000131BA"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membres du gouvernement fédéral ne sont soumis à aucune réglementation visant à prévenir ou à résoudre les conflits d’intérêts. Certains gouvernements avaient par le passé émis des directives</w:t>
          </w:r>
          <w:r w:rsidR="00F06F28" w:rsidRPr="00406EBF">
            <w:rPr>
              <w:rFonts w:cstheme="minorHAnsi"/>
              <w:sz w:val="23"/>
              <w:szCs w:val="23"/>
            </w:rPr>
            <w:t xml:space="preserve"> relatives aux conflits d’intérêts, mais ce n’est pas le cas des deux derniers gouvernements. </w:t>
          </w:r>
          <w:r w:rsidR="00E55A63">
            <w:rPr>
              <w:rFonts w:cstheme="minorHAnsi"/>
              <w:sz w:val="23"/>
              <w:szCs w:val="23"/>
            </w:rPr>
            <w:t xml:space="preserve">Par lettres du 24 février 2017 et du 18 mai 2017, le Premier ministre a toutefois demandé aux membres du gouvernement de vérifier si de par leur situation personnelle, ils pouvaient se trouver dans une situation de conflits d’intérêts, en leur rappelant qu’il leur incombait le cas échéant de le déclarer avant de délibérer tout dossier concernant ce sujet.  Il leur a demandé de faire le même examen pour les membres de leur cellule stratégique, en tenant compte de leurs éventuels mandats, et pour qui les mêmes règles s’appliquent afin de prévenir et d’éviter tout conflit d’intérêts. </w:t>
          </w:r>
          <w:r w:rsidR="00E9071A" w:rsidRPr="00406EBF">
            <w:rPr>
              <w:rFonts w:cstheme="minorHAnsi"/>
              <w:sz w:val="23"/>
              <w:szCs w:val="23"/>
            </w:rPr>
            <w:t xml:space="preserve"> </w:t>
          </w:r>
          <w:r w:rsidR="00F06F28" w:rsidRPr="00406EBF">
            <w:rPr>
              <w:rFonts w:cstheme="minorHAnsi"/>
              <w:sz w:val="23"/>
              <w:szCs w:val="23"/>
            </w:rPr>
            <w:t>Les autorités précisent aussi que</w:t>
          </w:r>
          <w:r w:rsidR="00E9071A" w:rsidRPr="00406EBF">
            <w:rPr>
              <w:rFonts w:cstheme="minorHAnsi"/>
              <w:sz w:val="23"/>
              <w:szCs w:val="23"/>
            </w:rPr>
            <w:t>, dans la pratique, il est d’usage que les membres du gouvernement exerçant des mandats d'administrateur dans des sociétés privées ou publiques démissionnent ou prennent congé de ces fonctions dès qu'ils sont nommés membres du gouvernement.</w:t>
          </w:r>
        </w:p>
        <w:p w14:paraId="72F43859" w14:textId="77777777" w:rsidR="00E9071A" w:rsidRPr="00406EBF" w:rsidRDefault="00E9071A" w:rsidP="00E9071A">
          <w:pPr>
            <w:spacing w:line="240" w:lineRule="auto"/>
            <w:jc w:val="both"/>
            <w:rPr>
              <w:rFonts w:cstheme="minorHAnsi"/>
              <w:sz w:val="23"/>
              <w:szCs w:val="23"/>
            </w:rPr>
          </w:pPr>
        </w:p>
        <w:p w14:paraId="1E22AD0A" w14:textId="3F418D7E" w:rsidR="00E9071A" w:rsidRPr="00406EBF" w:rsidRDefault="00F06F28"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Les chefs et chefs adjoints des organes stratégiques</w:t>
          </w:r>
          <w:r w:rsidR="00E55A63">
            <w:rPr>
              <w:rFonts w:cstheme="minorHAnsi"/>
              <w:sz w:val="23"/>
              <w:szCs w:val="23"/>
            </w:rPr>
            <w:t>,</w:t>
          </w:r>
          <w:r w:rsidR="00862647">
            <w:rPr>
              <w:rFonts w:cstheme="minorHAnsi"/>
              <w:sz w:val="23"/>
              <w:szCs w:val="23"/>
            </w:rPr>
            <w:t xml:space="preserve"> ainsi que les</w:t>
          </w:r>
          <w:r w:rsidR="00E55A63">
            <w:rPr>
              <w:rFonts w:cstheme="minorHAnsi"/>
              <w:sz w:val="23"/>
              <w:szCs w:val="23"/>
            </w:rPr>
            <w:t xml:space="preserve"> </w:t>
          </w:r>
          <w:r w:rsidR="00D2597E">
            <w:rPr>
              <w:rFonts w:cstheme="minorHAnsi"/>
              <w:sz w:val="23"/>
              <w:szCs w:val="23"/>
            </w:rPr>
            <w:t>directeurs</w:t>
          </w:r>
          <w:r w:rsidRPr="00406EBF">
            <w:rPr>
              <w:rFonts w:cstheme="minorHAnsi"/>
              <w:sz w:val="23"/>
              <w:szCs w:val="23"/>
            </w:rPr>
            <w:t xml:space="preserve"> sont soumis à l</w:t>
          </w:r>
          <w:r w:rsidR="00E9071A" w:rsidRPr="00406EBF">
            <w:rPr>
              <w:rFonts w:cstheme="minorHAnsi"/>
              <w:sz w:val="23"/>
              <w:szCs w:val="23"/>
            </w:rPr>
            <w:t xml:space="preserve">’article 4 du Code de déontologie des mandataires publics, </w:t>
          </w:r>
          <w:r w:rsidRPr="00406EBF">
            <w:rPr>
              <w:rFonts w:cstheme="minorHAnsi"/>
              <w:sz w:val="23"/>
              <w:szCs w:val="23"/>
            </w:rPr>
            <w:t xml:space="preserve">déjà cité, qui </w:t>
          </w:r>
          <w:r w:rsidR="00E9071A" w:rsidRPr="00406EBF">
            <w:rPr>
              <w:rFonts w:cstheme="minorHAnsi"/>
              <w:sz w:val="23"/>
              <w:szCs w:val="23"/>
              <w:lang w:val="fr-BE"/>
            </w:rPr>
            <w:t>définit ainsi les conflits d’intérêts :</w:t>
          </w:r>
        </w:p>
        <w:p w14:paraId="3355121B" w14:textId="77777777" w:rsidR="00E9071A" w:rsidRPr="00406EBF" w:rsidRDefault="00E9071A" w:rsidP="00E9071A">
          <w:pPr>
            <w:pStyle w:val="Paragraphedeliste"/>
            <w:rPr>
              <w:rFonts w:cstheme="minorHAnsi"/>
              <w:sz w:val="23"/>
              <w:szCs w:val="23"/>
            </w:rPr>
          </w:pPr>
        </w:p>
        <w:p w14:paraId="61A4557F" w14:textId="77777777" w:rsidR="00E9071A" w:rsidRPr="00406EBF" w:rsidRDefault="00E9071A" w:rsidP="00E9071A">
          <w:pPr>
            <w:pStyle w:val="Corpsde"/>
            <w:ind w:left="567"/>
            <w:jc w:val="both"/>
            <w:rPr>
              <w:rFonts w:asciiTheme="minorHAnsi" w:hAnsiTheme="minorHAnsi" w:cstheme="minorHAnsi"/>
              <w:b w:val="0"/>
              <w:i/>
              <w:sz w:val="23"/>
              <w:szCs w:val="23"/>
              <w:u w:val="none"/>
              <w:lang w:val="fr-BE"/>
            </w:rPr>
          </w:pPr>
          <w:r w:rsidRPr="00406EBF">
            <w:rPr>
              <w:rFonts w:asciiTheme="minorHAnsi" w:hAnsiTheme="minorHAnsi" w:cstheme="minorHAnsi"/>
              <w:b w:val="0"/>
              <w:i/>
              <w:sz w:val="23"/>
              <w:szCs w:val="23"/>
              <w:u w:val="none"/>
              <w:lang w:val="fr-BE"/>
            </w:rPr>
            <w:t xml:space="preserve">« 4.4. Un conflit d'intérêt naît d'une situation dans laquelle un mandataire public a un intérêt particulier ou personnel qui est de nature à pouvoir influer sur l'exercice impartial et objectif de ses fonctions officielles. Lorsqu'il existe dans son chef un conflit d'intérêts, le mandataire public est tenu d'en donner connaissance au préalable et, le cas échéant, de s'abstenir ultérieurement de toute autre action. </w:t>
          </w:r>
        </w:p>
        <w:p w14:paraId="7870D21C" w14:textId="77777777" w:rsidR="00E9071A" w:rsidRPr="00406EBF" w:rsidRDefault="00E9071A" w:rsidP="00E9071A">
          <w:pPr>
            <w:pStyle w:val="Corpsde"/>
            <w:ind w:left="567"/>
            <w:jc w:val="both"/>
            <w:rPr>
              <w:rFonts w:asciiTheme="minorHAnsi" w:hAnsiTheme="minorHAnsi" w:cstheme="minorHAnsi"/>
              <w:b w:val="0"/>
              <w:i/>
              <w:sz w:val="23"/>
              <w:szCs w:val="23"/>
              <w:u w:val="none"/>
              <w:lang w:val="fr-BE"/>
            </w:rPr>
          </w:pPr>
          <w:r w:rsidRPr="00406EBF">
            <w:rPr>
              <w:rFonts w:asciiTheme="minorHAnsi" w:hAnsiTheme="minorHAnsi" w:cstheme="minorHAnsi"/>
              <w:b w:val="0"/>
              <w:i/>
              <w:sz w:val="23"/>
              <w:szCs w:val="23"/>
              <w:u w:val="none"/>
              <w:lang w:val="fr-BE"/>
            </w:rPr>
            <w:t>4.5. Les intérêts particuliers ou personnels concernent notamment tout avantage réel ou potentiel pour le mandataire public lui-même, les membres de sa famille ou de son milieu familial. Une attention particulière doit être apportée aux avantages dont pourraient bénéficier le conjoint ou partenaire ainsi que leurs enfants. »</w:t>
          </w:r>
        </w:p>
        <w:p w14:paraId="1B39685F" w14:textId="77777777" w:rsidR="00C94F2C" w:rsidRPr="00406EBF" w:rsidRDefault="00C94F2C" w:rsidP="00E9071A">
          <w:pPr>
            <w:pStyle w:val="Corpsde"/>
            <w:ind w:left="567"/>
            <w:jc w:val="both"/>
            <w:rPr>
              <w:rFonts w:asciiTheme="minorHAnsi" w:hAnsiTheme="minorHAnsi" w:cstheme="minorHAnsi"/>
              <w:b w:val="0"/>
              <w:i/>
              <w:sz w:val="23"/>
              <w:szCs w:val="23"/>
              <w:u w:val="none"/>
              <w:lang w:val="fr-BE"/>
            </w:rPr>
          </w:pPr>
        </w:p>
        <w:p w14:paraId="0465C315" w14:textId="77777777" w:rsidR="00C94F2C" w:rsidRPr="00406EBF" w:rsidRDefault="00B8251F" w:rsidP="00B8251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Aux fins de la prévention des conflits d’intérêts, les mandataires doivent </w:t>
          </w:r>
          <w:r w:rsidR="00F06F28" w:rsidRPr="00406EBF">
            <w:rPr>
              <w:rFonts w:cstheme="minorHAnsi"/>
              <w:sz w:val="23"/>
              <w:szCs w:val="23"/>
            </w:rPr>
            <w:t>communiquer, «</w:t>
          </w:r>
          <w:r w:rsidRPr="00406EBF">
            <w:rPr>
              <w:rFonts w:cstheme="minorHAnsi"/>
              <w:i/>
              <w:sz w:val="23"/>
              <w:szCs w:val="23"/>
            </w:rPr>
            <w:t> tout au long de leur mandat, aux autorités compétentes les faits et obligations susceptibles d’interférer avec l’exercice de leur mandat ou d’influer sur l’exercice de leur mandat</w:t>
          </w:r>
          <w:r w:rsidRPr="00406EBF">
            <w:rPr>
              <w:rFonts w:cstheme="minorHAnsi"/>
              <w:sz w:val="23"/>
              <w:szCs w:val="23"/>
            </w:rPr>
            <w:t> » et doivent rendre publique toute interférence non autorisée. Ils doivent aussi rendre public, « </w:t>
          </w:r>
          <w:r w:rsidRPr="00406EBF">
            <w:rPr>
              <w:rFonts w:cstheme="minorHAnsi"/>
              <w:i/>
              <w:sz w:val="23"/>
              <w:szCs w:val="23"/>
            </w:rPr>
            <w:t>préalablement et tout au long de leur mandat leur affiliation, association, lien ou appartenance à des sociétés, Etats ou organismes vis-à-vis desquels ils sont tenus à une obligation de loyauté qui pourrait faire obstacle à l’exercice de leur mandat </w:t>
          </w:r>
          <w:r w:rsidRPr="00406EBF">
            <w:rPr>
              <w:rFonts w:cstheme="minorHAnsi"/>
              <w:sz w:val="23"/>
              <w:szCs w:val="23"/>
            </w:rPr>
            <w:t>». Enfin, ils ne peuvent « </w:t>
          </w:r>
          <w:r w:rsidRPr="00406EBF">
            <w:rPr>
              <w:rFonts w:cstheme="minorHAnsi"/>
              <w:i/>
              <w:sz w:val="23"/>
              <w:szCs w:val="23"/>
            </w:rPr>
            <w:t>exercer des activités qui sont dirigées contre les intérêts légitimes de l’institution au sein de laquelle ils exercent leur mandat</w:t>
          </w:r>
          <w:r w:rsidRPr="00406EBF">
            <w:rPr>
              <w:rFonts w:cstheme="minorHAnsi"/>
              <w:sz w:val="23"/>
              <w:szCs w:val="23"/>
            </w:rPr>
            <w:t> »</w:t>
          </w:r>
          <w:r w:rsidR="00C1093D" w:rsidRPr="00406EBF">
            <w:rPr>
              <w:rFonts w:cstheme="minorHAnsi"/>
              <w:sz w:val="23"/>
              <w:szCs w:val="23"/>
            </w:rPr>
            <w:t xml:space="preserve"> (art. 4.11, 4.12 et 4.13)</w:t>
          </w:r>
          <w:r w:rsidRPr="00406EBF">
            <w:rPr>
              <w:rFonts w:cstheme="minorHAnsi"/>
              <w:sz w:val="23"/>
              <w:szCs w:val="23"/>
            </w:rPr>
            <w:t>.</w:t>
          </w:r>
        </w:p>
        <w:p w14:paraId="4EF9A371" w14:textId="77777777" w:rsidR="00E9071A" w:rsidRPr="00406EBF" w:rsidRDefault="00E9071A" w:rsidP="00E9071A">
          <w:pPr>
            <w:spacing w:line="240" w:lineRule="auto"/>
            <w:jc w:val="both"/>
            <w:rPr>
              <w:rFonts w:cstheme="minorHAnsi"/>
              <w:sz w:val="23"/>
              <w:szCs w:val="23"/>
              <w:lang w:val="fr-BE"/>
            </w:rPr>
          </w:pPr>
        </w:p>
        <w:p w14:paraId="5A000356" w14:textId="48A5B1D9" w:rsidR="00F06F28" w:rsidRPr="00406EBF" w:rsidRDefault="00F06F28" w:rsidP="00F06F28">
          <w:pPr>
            <w:numPr>
              <w:ilvl w:val="0"/>
              <w:numId w:val="1"/>
            </w:numPr>
            <w:tabs>
              <w:tab w:val="left" w:pos="709"/>
            </w:tabs>
            <w:spacing w:line="240" w:lineRule="auto"/>
            <w:ind w:left="0" w:firstLine="0"/>
            <w:jc w:val="both"/>
            <w:rPr>
              <w:rFonts w:cstheme="minorHAnsi"/>
              <w:b/>
              <w:i/>
              <w:sz w:val="23"/>
              <w:szCs w:val="23"/>
              <w:lang w:val="fr-BE"/>
            </w:rPr>
          </w:pPr>
          <w:r w:rsidRPr="00406EBF">
            <w:rPr>
              <w:rFonts w:cstheme="minorHAnsi"/>
              <w:sz w:val="23"/>
              <w:szCs w:val="23"/>
              <w:lang w:val="fr-BE"/>
            </w:rPr>
            <w:t xml:space="preserve">Les </w:t>
          </w:r>
          <w:r w:rsidR="000B25FF">
            <w:rPr>
              <w:rFonts w:cstheme="minorHAnsi"/>
              <w:sz w:val="23"/>
              <w:szCs w:val="23"/>
              <w:lang w:val="fr-BE"/>
            </w:rPr>
            <w:t xml:space="preserve">autres </w:t>
          </w:r>
          <w:r w:rsidRPr="00406EBF">
            <w:rPr>
              <w:rFonts w:cstheme="minorHAnsi"/>
              <w:sz w:val="23"/>
              <w:szCs w:val="23"/>
              <w:lang w:val="fr-BE"/>
            </w:rPr>
            <w:t>membres des organes stratégiques</w:t>
          </w:r>
          <w:r w:rsidR="000153D9">
            <w:rPr>
              <w:rFonts w:cstheme="minorHAnsi"/>
              <w:sz w:val="23"/>
              <w:szCs w:val="23"/>
              <w:lang w:val="fr-BE"/>
            </w:rPr>
            <w:t xml:space="preserve"> ne sont, eux, soumis à aucune règle </w:t>
          </w:r>
          <w:r w:rsidR="006E0512" w:rsidRPr="00406EBF">
            <w:rPr>
              <w:rFonts w:cstheme="minorHAnsi"/>
              <w:sz w:val="23"/>
              <w:szCs w:val="23"/>
            </w:rPr>
            <w:t>– alors que certains d’entre eux exercent leur activité au sein des organes stratégiques à temps partiel, voire très partiel, ce qui augmente d’autant les risques de conflits d’intérêts liés à leurs autres activités.</w:t>
          </w:r>
        </w:p>
        <w:p w14:paraId="4D8CD98D" w14:textId="77777777" w:rsidR="006E0512" w:rsidRPr="00406EBF" w:rsidRDefault="006E0512" w:rsidP="006E0512">
          <w:pPr>
            <w:pStyle w:val="Paragraphedeliste"/>
            <w:rPr>
              <w:rFonts w:cstheme="minorHAnsi"/>
              <w:b/>
              <w:i/>
              <w:sz w:val="23"/>
              <w:szCs w:val="23"/>
              <w:lang w:val="fr-BE"/>
            </w:rPr>
          </w:pPr>
        </w:p>
        <w:p w14:paraId="2F82D1DC" w14:textId="15F9BC21" w:rsidR="006E0512" w:rsidRPr="00406EBF" w:rsidRDefault="006E0512" w:rsidP="00F06F28">
          <w:pPr>
            <w:numPr>
              <w:ilvl w:val="0"/>
              <w:numId w:val="1"/>
            </w:numPr>
            <w:tabs>
              <w:tab w:val="left" w:pos="709"/>
            </w:tabs>
            <w:spacing w:line="240" w:lineRule="auto"/>
            <w:ind w:left="0" w:firstLine="0"/>
            <w:jc w:val="both"/>
            <w:rPr>
              <w:rFonts w:cstheme="minorHAnsi"/>
              <w:b/>
              <w:i/>
              <w:sz w:val="23"/>
              <w:szCs w:val="23"/>
              <w:lang w:val="fr-BE"/>
            </w:rPr>
          </w:pPr>
          <w:r w:rsidRPr="00406EBF">
            <w:rPr>
              <w:rFonts w:cstheme="minorHAnsi"/>
              <w:sz w:val="23"/>
              <w:szCs w:val="23"/>
              <w:lang w:val="fr-BE"/>
            </w:rPr>
            <w:t xml:space="preserve">Le besoin de règles spécifiques relatives aux conflits d’intérêts visant les PHFE se fait d’autant plus sentir que plusieurs scandales ont émaillé la dernière législature, comme le Kazakhgate </w:t>
          </w:r>
          <w:r w:rsidR="0033012C" w:rsidRPr="00406EBF">
            <w:rPr>
              <w:rFonts w:cstheme="minorHAnsi"/>
              <w:sz w:val="23"/>
              <w:szCs w:val="23"/>
              <w:lang w:val="fr-BE"/>
            </w:rPr>
            <w:t xml:space="preserve">(voir section « Contexte » de ce rapport) </w:t>
          </w:r>
          <w:r w:rsidRPr="00406EBF">
            <w:rPr>
              <w:rFonts w:cstheme="minorHAnsi"/>
              <w:sz w:val="23"/>
              <w:szCs w:val="23"/>
              <w:lang w:val="fr-BE"/>
            </w:rPr>
            <w:t xml:space="preserve">et que des </w:t>
          </w:r>
          <w:r w:rsidR="0033012C" w:rsidRPr="00406EBF">
            <w:rPr>
              <w:rFonts w:cstheme="minorHAnsi"/>
              <w:sz w:val="23"/>
              <w:szCs w:val="23"/>
              <w:lang w:val="fr-BE"/>
            </w:rPr>
            <w:t xml:space="preserve">allégations de conflits d’intérêts ont visé les chefs ou membres des </w:t>
          </w:r>
          <w:r w:rsidR="00736359" w:rsidRPr="00406EBF">
            <w:rPr>
              <w:rFonts w:cstheme="minorHAnsi"/>
              <w:sz w:val="23"/>
              <w:szCs w:val="23"/>
              <w:lang w:val="fr-BE"/>
            </w:rPr>
            <w:t>organes</w:t>
          </w:r>
          <w:r w:rsidR="0033012C" w:rsidRPr="00406EBF">
            <w:rPr>
              <w:rFonts w:cstheme="minorHAnsi"/>
              <w:sz w:val="23"/>
              <w:szCs w:val="23"/>
              <w:lang w:val="fr-BE"/>
            </w:rPr>
            <w:t xml:space="preserve"> stratégiques de certains ministres</w:t>
          </w:r>
          <w:r w:rsidR="0033012C" w:rsidRPr="00406EBF">
            <w:rPr>
              <w:rStyle w:val="Appelnotedebasdep"/>
              <w:rFonts w:cstheme="minorHAnsi"/>
              <w:sz w:val="23"/>
              <w:szCs w:val="23"/>
              <w:lang w:val="fr-BE"/>
            </w:rPr>
            <w:footnoteReference w:id="28"/>
          </w:r>
          <w:r w:rsidR="0033012C" w:rsidRPr="00406EBF">
            <w:rPr>
              <w:rFonts w:cstheme="minorHAnsi"/>
              <w:sz w:val="23"/>
              <w:szCs w:val="23"/>
              <w:lang w:val="fr-BE"/>
            </w:rPr>
            <w:t xml:space="preserve">. </w:t>
          </w:r>
          <w:r w:rsidR="00736359" w:rsidRPr="00406EBF">
            <w:rPr>
              <w:rFonts w:cstheme="minorHAnsi"/>
              <w:sz w:val="23"/>
              <w:szCs w:val="23"/>
              <w:lang w:val="fr-BE"/>
            </w:rPr>
            <w:t xml:space="preserve">Ces règles </w:t>
          </w:r>
          <w:r w:rsidR="00736359" w:rsidRPr="004409F8">
            <w:rPr>
              <w:rFonts w:cstheme="minorHAnsi"/>
              <w:sz w:val="23"/>
              <w:szCs w:val="23"/>
              <w:lang w:val="fr-BE"/>
            </w:rPr>
            <w:t xml:space="preserve">devraient trouver leur place dans le cadre déontologique recommandé ci-dessus (voir </w:t>
          </w:r>
          <w:r w:rsidR="00C616A3" w:rsidRPr="004409F8">
            <w:rPr>
              <w:rFonts w:cstheme="minorHAnsi"/>
              <w:sz w:val="23"/>
              <w:szCs w:val="23"/>
              <w:lang w:val="fr-BE"/>
            </w:rPr>
            <w:t xml:space="preserve">paragraphe 45 et </w:t>
          </w:r>
          <w:r w:rsidR="0033012C" w:rsidRPr="004409F8">
            <w:rPr>
              <w:rFonts w:cstheme="minorHAnsi"/>
              <w:sz w:val="23"/>
              <w:szCs w:val="23"/>
              <w:lang w:val="fr-BE"/>
            </w:rPr>
            <w:t xml:space="preserve">recommandation </w:t>
          </w:r>
          <w:r w:rsidR="00A712BB" w:rsidRPr="004409F8">
            <w:rPr>
              <w:rFonts w:cstheme="minorHAnsi"/>
              <w:sz w:val="23"/>
              <w:szCs w:val="23"/>
              <w:lang w:val="fr-BE"/>
            </w:rPr>
            <w:t>i</w:t>
          </w:r>
          <w:r w:rsidR="00B23984" w:rsidRPr="004409F8">
            <w:rPr>
              <w:rFonts w:cstheme="minorHAnsi"/>
              <w:sz w:val="23"/>
              <w:szCs w:val="23"/>
              <w:lang w:val="fr-BE"/>
            </w:rPr>
            <w:t>i</w:t>
          </w:r>
          <w:r w:rsidR="00A712BB" w:rsidRPr="004409F8">
            <w:rPr>
              <w:rFonts w:cstheme="minorHAnsi"/>
              <w:sz w:val="23"/>
              <w:szCs w:val="23"/>
              <w:lang w:val="fr-BE"/>
            </w:rPr>
            <w:t>i</w:t>
          </w:r>
          <w:r w:rsidR="00736359" w:rsidRPr="004409F8">
            <w:rPr>
              <w:rFonts w:cstheme="minorHAnsi"/>
              <w:sz w:val="23"/>
              <w:szCs w:val="23"/>
              <w:lang w:val="fr-BE"/>
            </w:rPr>
            <w:t>)</w:t>
          </w:r>
          <w:r w:rsidR="0033012C" w:rsidRPr="004409F8">
            <w:rPr>
              <w:rFonts w:cstheme="minorHAnsi"/>
              <w:sz w:val="23"/>
              <w:szCs w:val="23"/>
              <w:lang w:val="fr-BE"/>
            </w:rPr>
            <w:t>.</w:t>
          </w:r>
          <w:r w:rsidR="00736359" w:rsidRPr="004409F8">
            <w:rPr>
              <w:rFonts w:cstheme="minorHAnsi"/>
              <w:sz w:val="23"/>
              <w:szCs w:val="23"/>
              <w:lang w:val="fr-BE"/>
            </w:rPr>
            <w:t xml:space="preserve"> Elles</w:t>
          </w:r>
          <w:r w:rsidR="00736359" w:rsidRPr="00406EBF">
            <w:rPr>
              <w:rFonts w:cstheme="minorHAnsi"/>
              <w:sz w:val="23"/>
              <w:szCs w:val="23"/>
              <w:lang w:val="fr-BE"/>
            </w:rPr>
            <w:t xml:space="preserve"> devraient comprendre des conseils pratiques et des exemples concrets de situations pouvant survenir pour les personnes travaillant au sein du gouvernement ou à son service. </w:t>
          </w:r>
          <w:r w:rsidR="00F76C26" w:rsidRPr="00406EBF">
            <w:rPr>
              <w:rFonts w:cstheme="minorHAnsi"/>
              <w:sz w:val="23"/>
              <w:szCs w:val="23"/>
              <w:lang w:val="fr-BE"/>
            </w:rPr>
            <w:t xml:space="preserve">Par ailleurs et indépendamment des obligations déclaratives figurant dans les déclarations de mandats, les PHFE devraient déclarer les conflits d’intérêts au fur et à mesure qu’ils surviennent. Par conséquent, </w:t>
          </w:r>
          <w:r w:rsidR="00F76C26" w:rsidRPr="00406EBF">
            <w:rPr>
              <w:rFonts w:cstheme="minorHAnsi"/>
              <w:b/>
              <w:sz w:val="23"/>
              <w:szCs w:val="23"/>
              <w:lang w:val="fr-BE"/>
            </w:rPr>
            <w:t xml:space="preserve">le GRECO recommande </w:t>
          </w:r>
          <w:bookmarkStart w:id="57" w:name="_Hlk26528642"/>
          <w:r w:rsidR="00F76C26" w:rsidRPr="00406EBF">
            <w:rPr>
              <w:rFonts w:cstheme="minorHAnsi"/>
              <w:b/>
              <w:sz w:val="23"/>
              <w:szCs w:val="23"/>
              <w:lang w:val="fr-BE"/>
            </w:rPr>
            <w:t xml:space="preserve">qu’une exigence de </w:t>
          </w:r>
          <w:r w:rsidR="004D07C4">
            <w:rPr>
              <w:rFonts w:cstheme="minorHAnsi"/>
              <w:b/>
              <w:sz w:val="23"/>
              <w:szCs w:val="23"/>
              <w:lang w:val="fr-BE"/>
            </w:rPr>
            <w:t>signalement</w:t>
          </w:r>
          <w:r w:rsidR="00F76C26" w:rsidRPr="00406EBF">
            <w:rPr>
              <w:rFonts w:cstheme="minorHAnsi"/>
              <w:b/>
              <w:sz w:val="23"/>
              <w:szCs w:val="23"/>
              <w:lang w:val="fr-BE"/>
            </w:rPr>
            <w:t xml:space="preserve"> ad hoc soit introduite à l’égard des personnes occupant de hautes fonctions de l’exécutif lorsque surviennent des situations de conflit entre leurs intérêts privés et leurs fonctions officielles</w:t>
          </w:r>
          <w:bookmarkEnd w:id="57"/>
          <w:r w:rsidR="00F76C26" w:rsidRPr="00406EBF">
            <w:rPr>
              <w:rFonts w:cstheme="minorHAnsi"/>
              <w:b/>
              <w:sz w:val="23"/>
              <w:szCs w:val="23"/>
              <w:lang w:val="fr-BE"/>
            </w:rPr>
            <w:t>.</w:t>
          </w:r>
        </w:p>
        <w:p w14:paraId="48B9C461" w14:textId="77777777" w:rsidR="00F06F28" w:rsidRPr="00406EBF" w:rsidRDefault="00F06F28" w:rsidP="00F06F28">
          <w:pPr>
            <w:pStyle w:val="Paragraphedeliste"/>
            <w:rPr>
              <w:rFonts w:cstheme="minorHAnsi"/>
              <w:b/>
              <w:i/>
              <w:sz w:val="23"/>
              <w:szCs w:val="23"/>
              <w:lang w:val="fr-BE"/>
            </w:rPr>
          </w:pPr>
        </w:p>
        <w:p w14:paraId="19AFA6D1" w14:textId="77777777" w:rsidR="006608FA" w:rsidRPr="00406EBF" w:rsidRDefault="006608FA" w:rsidP="001878CC">
          <w:pPr>
            <w:pStyle w:val="Titre2"/>
            <w:keepLines w:val="0"/>
            <w:tabs>
              <w:tab w:val="left" w:pos="709"/>
            </w:tabs>
            <w:spacing w:before="0" w:line="240" w:lineRule="auto"/>
            <w:rPr>
              <w:rFonts w:asciiTheme="minorHAnsi" w:hAnsiTheme="minorHAnsi"/>
              <w:color w:val="auto"/>
              <w:sz w:val="23"/>
              <w:szCs w:val="23"/>
              <w:u w:val="single"/>
            </w:rPr>
          </w:pPr>
          <w:bookmarkStart w:id="58" w:name="_Toc2777392"/>
          <w:bookmarkStart w:id="59" w:name="_Toc21339566"/>
          <w:r w:rsidRPr="00406EBF">
            <w:rPr>
              <w:rFonts w:asciiTheme="minorHAnsi" w:hAnsiTheme="minorHAnsi"/>
              <w:color w:val="auto"/>
              <w:sz w:val="23"/>
              <w:szCs w:val="23"/>
              <w:u w:val="single"/>
            </w:rPr>
            <w:t>Interdiction ou limitation de certaines activités</w:t>
          </w:r>
          <w:bookmarkEnd w:id="58"/>
          <w:bookmarkEnd w:id="59"/>
        </w:p>
        <w:p w14:paraId="029F50C8" w14:textId="77777777" w:rsidR="006608FA" w:rsidRPr="00406EBF" w:rsidRDefault="006608FA" w:rsidP="001878CC">
          <w:pPr>
            <w:keepNext/>
            <w:tabs>
              <w:tab w:val="left" w:pos="567"/>
              <w:tab w:val="left" w:pos="709"/>
            </w:tabs>
            <w:suppressAutoHyphens/>
            <w:spacing w:line="240" w:lineRule="auto"/>
            <w:jc w:val="both"/>
            <w:rPr>
              <w:rFonts w:cstheme="minorHAnsi"/>
              <w:b/>
              <w:sz w:val="23"/>
              <w:szCs w:val="23"/>
              <w:u w:val="single"/>
            </w:rPr>
          </w:pPr>
        </w:p>
        <w:p w14:paraId="34EACC9E"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60" w:name="_Toc342554256"/>
          <w:bookmarkStart w:id="61" w:name="_Toc342640931"/>
          <w:bookmarkStart w:id="62" w:name="_Toc2777393"/>
          <w:bookmarkStart w:id="63" w:name="_Toc21339567"/>
          <w:r w:rsidRPr="00406EBF">
            <w:rPr>
              <w:rFonts w:asciiTheme="minorHAnsi" w:hAnsiTheme="minorHAnsi" w:cstheme="minorHAnsi"/>
              <w:b w:val="0"/>
              <w:i/>
              <w:color w:val="auto"/>
              <w:sz w:val="23"/>
              <w:szCs w:val="23"/>
            </w:rPr>
            <w:t>Incompatibilités, activités accessoires et int</w:t>
          </w:r>
          <w:bookmarkEnd w:id="60"/>
          <w:bookmarkEnd w:id="61"/>
          <w:r w:rsidRPr="00406EBF">
            <w:rPr>
              <w:rFonts w:asciiTheme="minorHAnsi" w:hAnsiTheme="minorHAnsi" w:cstheme="minorHAnsi"/>
              <w:b w:val="0"/>
              <w:i/>
              <w:color w:val="auto"/>
              <w:sz w:val="23"/>
              <w:szCs w:val="23"/>
            </w:rPr>
            <w:t>érêts financiers</w:t>
          </w:r>
          <w:bookmarkEnd w:id="62"/>
          <w:bookmarkEnd w:id="63"/>
        </w:p>
        <w:p w14:paraId="2EB89993" w14:textId="77777777" w:rsidR="006608FA" w:rsidRPr="00406EBF" w:rsidRDefault="006608FA" w:rsidP="001878CC">
          <w:pPr>
            <w:keepNext/>
            <w:tabs>
              <w:tab w:val="left" w:pos="567"/>
              <w:tab w:val="left" w:pos="709"/>
            </w:tabs>
            <w:suppressAutoHyphens/>
            <w:spacing w:line="240" w:lineRule="auto"/>
            <w:jc w:val="both"/>
            <w:rPr>
              <w:rFonts w:cstheme="minorHAnsi"/>
              <w:b/>
              <w:sz w:val="23"/>
              <w:szCs w:val="23"/>
              <w:u w:val="single"/>
            </w:rPr>
          </w:pPr>
        </w:p>
        <w:p w14:paraId="7AE87484" w14:textId="6EDB52BF" w:rsidR="009B63F1" w:rsidRPr="00B23984" w:rsidRDefault="009B63F1" w:rsidP="001878CC">
          <w:pPr>
            <w:numPr>
              <w:ilvl w:val="0"/>
              <w:numId w:val="1"/>
            </w:numPr>
            <w:tabs>
              <w:tab w:val="left" w:pos="709"/>
            </w:tabs>
            <w:spacing w:line="240" w:lineRule="auto"/>
            <w:ind w:left="0" w:firstLine="0"/>
            <w:jc w:val="both"/>
            <w:rPr>
              <w:rFonts w:cstheme="minorHAnsi"/>
              <w:b/>
              <w:sz w:val="23"/>
              <w:szCs w:val="23"/>
            </w:rPr>
          </w:pPr>
          <w:r w:rsidRPr="00B23984">
            <w:rPr>
              <w:rFonts w:cstheme="minorHAnsi"/>
              <w:sz w:val="23"/>
              <w:szCs w:val="23"/>
            </w:rPr>
            <w:t>Un membre de la famille royale ne peut être ministre (art. 98 de la Constitution)</w:t>
          </w:r>
          <w:r w:rsidR="00446BF7" w:rsidRPr="00B23984">
            <w:rPr>
              <w:rFonts w:cstheme="minorHAnsi"/>
              <w:sz w:val="23"/>
              <w:szCs w:val="23"/>
            </w:rPr>
            <w:t>.</w:t>
          </w:r>
          <w:r w:rsidRPr="00B23984">
            <w:rPr>
              <w:rFonts w:cstheme="minorHAnsi"/>
              <w:sz w:val="23"/>
              <w:szCs w:val="23"/>
            </w:rPr>
            <w:t xml:space="preserve"> En outre, certaines fonctions sont incompatibles avec le mandat de ministre. C’est le cas par exemple de </w:t>
          </w:r>
          <w:r w:rsidRPr="00B23984">
            <w:rPr>
              <w:rFonts w:cstheme="minorHAnsi"/>
              <w:sz w:val="23"/>
              <w:szCs w:val="23"/>
            </w:rPr>
            <w:lastRenderedPageBreak/>
            <w:t>l’appartenance à un organe chargé de contrôler le travail de l’exécutif, comme la Cour des Comptes</w:t>
          </w:r>
          <w:r w:rsidR="000153D9" w:rsidRPr="00B23984">
            <w:rPr>
              <w:rFonts w:cstheme="minorHAnsi"/>
              <w:sz w:val="23"/>
              <w:szCs w:val="23"/>
            </w:rPr>
            <w:t xml:space="preserve"> (</w:t>
          </w:r>
          <w:r w:rsidR="00E74882">
            <w:rPr>
              <w:rFonts w:cstheme="minorHAnsi"/>
              <w:sz w:val="23"/>
              <w:szCs w:val="23"/>
            </w:rPr>
            <w:t>art. 2 de la loi du 29 octo</w:t>
          </w:r>
          <w:r w:rsidR="00F023CE">
            <w:rPr>
              <w:rFonts w:cstheme="minorHAnsi"/>
              <w:sz w:val="23"/>
              <w:szCs w:val="23"/>
            </w:rPr>
            <w:t>bre 1846</w:t>
          </w:r>
          <w:r w:rsidR="00322480">
            <w:rPr>
              <w:rFonts w:cstheme="minorHAnsi"/>
              <w:sz w:val="23"/>
              <w:szCs w:val="23"/>
            </w:rPr>
            <w:t xml:space="preserve"> relative à l’organisation de la Cour des </w:t>
          </w:r>
          <w:r w:rsidR="007B5E8B">
            <w:rPr>
              <w:rFonts w:cstheme="minorHAnsi"/>
              <w:sz w:val="23"/>
              <w:szCs w:val="23"/>
            </w:rPr>
            <w:t>comptes</w:t>
          </w:r>
          <w:r w:rsidR="000153D9" w:rsidRPr="00B23984">
            <w:rPr>
              <w:rFonts w:cstheme="minorHAnsi"/>
              <w:sz w:val="23"/>
              <w:szCs w:val="23"/>
            </w:rPr>
            <w:t>)</w:t>
          </w:r>
          <w:r w:rsidRPr="00B23984">
            <w:rPr>
              <w:rFonts w:cstheme="minorHAnsi"/>
              <w:sz w:val="23"/>
              <w:szCs w:val="23"/>
            </w:rPr>
            <w:t xml:space="preserve">. </w:t>
          </w:r>
        </w:p>
        <w:p w14:paraId="42CADD2C" w14:textId="77777777" w:rsidR="001114CC" w:rsidRPr="00406EBF" w:rsidRDefault="001114CC" w:rsidP="001114CC">
          <w:pPr>
            <w:spacing w:line="240" w:lineRule="auto"/>
            <w:jc w:val="both"/>
            <w:rPr>
              <w:rFonts w:cstheme="minorHAnsi"/>
              <w:b/>
              <w:sz w:val="23"/>
              <w:szCs w:val="23"/>
              <w:highlight w:val="lightGray"/>
            </w:rPr>
          </w:pPr>
        </w:p>
        <w:p w14:paraId="7B93A624" w14:textId="5AB2F4F5" w:rsidR="00612B1E" w:rsidRPr="00406EBF" w:rsidRDefault="009B63F1"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 </w:t>
          </w:r>
          <w:r w:rsidR="001114CC" w:rsidRPr="00406EBF">
            <w:rPr>
              <w:rFonts w:cstheme="minorHAnsi"/>
              <w:sz w:val="23"/>
              <w:szCs w:val="23"/>
            </w:rPr>
            <w:t xml:space="preserve">En outre, </w:t>
          </w:r>
          <w:r w:rsidR="000153D9">
            <w:rPr>
              <w:rFonts w:cstheme="minorHAnsi"/>
              <w:sz w:val="23"/>
              <w:szCs w:val="23"/>
            </w:rPr>
            <w:t xml:space="preserve">l’article 50 de </w:t>
          </w:r>
          <w:r w:rsidR="001114CC" w:rsidRPr="00406EBF">
            <w:rPr>
              <w:rFonts w:cstheme="minorHAnsi"/>
              <w:sz w:val="23"/>
              <w:szCs w:val="23"/>
            </w:rPr>
            <w:t xml:space="preserve">la </w:t>
          </w:r>
          <w:r w:rsidR="000153D9">
            <w:rPr>
              <w:rFonts w:cstheme="minorHAnsi"/>
              <w:sz w:val="23"/>
              <w:szCs w:val="23"/>
            </w:rPr>
            <w:t xml:space="preserve">Constitution </w:t>
          </w:r>
          <w:r w:rsidR="001114CC" w:rsidRPr="00406EBF">
            <w:rPr>
              <w:rFonts w:cstheme="minorHAnsi"/>
              <w:sz w:val="23"/>
              <w:szCs w:val="23"/>
            </w:rPr>
            <w:t>établit une incompatibilité entre la fonction parlementaire et la fonction ministérielle. Les parlementaires nommés ministres doivent cesser de siéger</w:t>
          </w:r>
          <w:r w:rsidR="00696B61" w:rsidRPr="00406EBF">
            <w:rPr>
              <w:rFonts w:cstheme="minorHAnsi"/>
              <w:sz w:val="23"/>
              <w:szCs w:val="23"/>
            </w:rPr>
            <w:t>, mais retrouvent leur siège en cas de cessation de leur fonction de ministre</w:t>
          </w:r>
          <w:r w:rsidR="001114CC" w:rsidRPr="00406EBF">
            <w:rPr>
              <w:rFonts w:cstheme="minorHAnsi"/>
              <w:sz w:val="23"/>
              <w:szCs w:val="23"/>
            </w:rPr>
            <w:t xml:space="preserve">. Selon </w:t>
          </w:r>
          <w:r w:rsidR="000153D9">
            <w:rPr>
              <w:rFonts w:cstheme="minorHAnsi"/>
              <w:sz w:val="23"/>
              <w:szCs w:val="23"/>
            </w:rPr>
            <w:t>l’article 2 de la loi du 6 août 1931</w:t>
          </w:r>
          <w:r w:rsidR="001114CC" w:rsidRPr="00406EBF">
            <w:rPr>
              <w:rFonts w:cstheme="minorHAnsi"/>
              <w:sz w:val="23"/>
              <w:szCs w:val="23"/>
            </w:rPr>
            <w:t>, les ministres</w:t>
          </w:r>
          <w:r w:rsidR="00C34E2B" w:rsidRPr="00406EBF">
            <w:rPr>
              <w:rFonts w:cstheme="minorHAnsi"/>
              <w:sz w:val="23"/>
              <w:szCs w:val="23"/>
            </w:rPr>
            <w:t xml:space="preserve"> et anciens ministres ont interdiction de faire mention de leur fonction dans les actes ou publications se rapportant à des sociétés à but lucratif. </w:t>
          </w:r>
        </w:p>
        <w:p w14:paraId="6A59A604" w14:textId="77777777" w:rsidR="00121F2F" w:rsidRPr="00406EBF" w:rsidRDefault="00121F2F" w:rsidP="00121F2F">
          <w:pPr>
            <w:pStyle w:val="Paragraphedeliste"/>
            <w:rPr>
              <w:rFonts w:cstheme="minorHAnsi"/>
              <w:sz w:val="23"/>
              <w:szCs w:val="23"/>
            </w:rPr>
          </w:pPr>
        </w:p>
        <w:p w14:paraId="371F5BE6" w14:textId="48F8CA6E" w:rsidR="00E20BFB" w:rsidRPr="00406EBF" w:rsidRDefault="008E524D" w:rsidP="00E20BF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membres des organes stratégiques ne sont, eux, soumis à aucune limitation de leurs activités accessoires et bon nombre d’entre eux en exercent, selon les informations recueillies par l’EEG. </w:t>
          </w:r>
          <w:r w:rsidR="00E20BFB" w:rsidRPr="00406EBF">
            <w:rPr>
              <w:rFonts w:cstheme="minorHAnsi"/>
              <w:sz w:val="23"/>
              <w:szCs w:val="23"/>
            </w:rPr>
            <w:t>Enfin, s</w:t>
          </w:r>
          <w:r w:rsidRPr="00406EBF">
            <w:rPr>
              <w:rFonts w:cstheme="minorHAnsi"/>
              <w:sz w:val="23"/>
              <w:szCs w:val="23"/>
            </w:rPr>
            <w:t>’agissant des chefs</w:t>
          </w:r>
          <w:r w:rsidR="00CC3E23">
            <w:rPr>
              <w:rFonts w:cstheme="minorHAnsi"/>
              <w:sz w:val="23"/>
              <w:szCs w:val="23"/>
            </w:rPr>
            <w:t xml:space="preserve"> de cabinet</w:t>
          </w:r>
          <w:r w:rsidR="000153D9">
            <w:rPr>
              <w:rFonts w:cstheme="minorHAnsi"/>
              <w:sz w:val="23"/>
              <w:szCs w:val="23"/>
            </w:rPr>
            <w:t>,</w:t>
          </w:r>
          <w:r w:rsidRPr="00406EBF">
            <w:rPr>
              <w:rFonts w:cstheme="minorHAnsi"/>
              <w:sz w:val="23"/>
              <w:szCs w:val="23"/>
            </w:rPr>
            <w:t xml:space="preserve"> chefs </w:t>
          </w:r>
          <w:r w:rsidR="00CC3E23">
            <w:rPr>
              <w:rFonts w:cstheme="minorHAnsi"/>
              <w:sz w:val="23"/>
              <w:szCs w:val="23"/>
            </w:rPr>
            <w:t>de cabinet adjoints</w:t>
          </w:r>
          <w:r w:rsidR="000153D9">
            <w:rPr>
              <w:rFonts w:cstheme="minorHAnsi"/>
              <w:sz w:val="23"/>
              <w:szCs w:val="23"/>
            </w:rPr>
            <w:t xml:space="preserve"> et directeurs</w:t>
          </w:r>
          <w:r w:rsidRPr="00406EBF">
            <w:rPr>
              <w:rFonts w:cstheme="minorHAnsi"/>
              <w:sz w:val="23"/>
              <w:szCs w:val="23"/>
            </w:rPr>
            <w:t>, l’article 4 du</w:t>
          </w:r>
          <w:r w:rsidR="00E20BFB" w:rsidRPr="00406EBF">
            <w:rPr>
              <w:rFonts w:cstheme="minorHAnsi"/>
              <w:sz w:val="23"/>
              <w:szCs w:val="23"/>
            </w:rPr>
            <w:t xml:space="preserve"> Code de déontologie des mandataires publics</w:t>
          </w:r>
          <w:r w:rsidR="00FC4D12" w:rsidRPr="00406EBF">
            <w:rPr>
              <w:rFonts w:cstheme="minorHAnsi"/>
              <w:sz w:val="23"/>
              <w:szCs w:val="23"/>
            </w:rPr>
            <w:t>, déjà cité,</w:t>
          </w:r>
          <w:r w:rsidRPr="00406EBF">
            <w:rPr>
              <w:rFonts w:cstheme="minorHAnsi"/>
              <w:sz w:val="23"/>
              <w:szCs w:val="23"/>
            </w:rPr>
            <w:t xml:space="preserve"> est d’application. </w:t>
          </w:r>
          <w:r w:rsidR="00FC4D12" w:rsidRPr="00406EBF">
            <w:rPr>
              <w:rFonts w:cstheme="minorHAnsi"/>
              <w:sz w:val="23"/>
              <w:szCs w:val="23"/>
            </w:rPr>
            <w:t xml:space="preserve">Il leur impose notamment de </w:t>
          </w:r>
          <w:r w:rsidR="00E20BFB" w:rsidRPr="00406EBF">
            <w:rPr>
              <w:rFonts w:cstheme="minorHAnsi"/>
              <w:sz w:val="23"/>
              <w:szCs w:val="23"/>
            </w:rPr>
            <w:t>rendre public, « </w:t>
          </w:r>
          <w:r w:rsidR="00E20BFB" w:rsidRPr="00406EBF">
            <w:rPr>
              <w:rFonts w:cstheme="minorHAnsi"/>
              <w:i/>
              <w:sz w:val="23"/>
              <w:szCs w:val="23"/>
            </w:rPr>
            <w:t>préalablement et tout au long de leur mandat leur affiliation, association, lien ou appartenance à des sociétés, Etats ou organismes vis-à-vis desquels ils sont tenus à une obligation de loyauté qui pourrait faire obstacle à l’exercice de leur mandat </w:t>
          </w:r>
          <w:r w:rsidR="00E20BFB" w:rsidRPr="00406EBF">
            <w:rPr>
              <w:rFonts w:cstheme="minorHAnsi"/>
              <w:sz w:val="23"/>
              <w:szCs w:val="23"/>
            </w:rPr>
            <w:t>». Enfin, ils ne peuvent « </w:t>
          </w:r>
          <w:r w:rsidR="00E20BFB" w:rsidRPr="00406EBF">
            <w:rPr>
              <w:rFonts w:cstheme="minorHAnsi"/>
              <w:i/>
              <w:sz w:val="23"/>
              <w:szCs w:val="23"/>
            </w:rPr>
            <w:t>exercer des activités qui sont dirigées contre les intérêts légitimes de l’institution au sein de laquelle ils exercent leur mandat</w:t>
          </w:r>
          <w:r w:rsidR="00E20BFB" w:rsidRPr="00406EBF">
            <w:rPr>
              <w:rFonts w:cstheme="minorHAnsi"/>
              <w:sz w:val="23"/>
              <w:szCs w:val="23"/>
            </w:rPr>
            <w:t> ».</w:t>
          </w:r>
        </w:p>
        <w:p w14:paraId="49155CA6" w14:textId="77777777" w:rsidR="00E20BFB" w:rsidRPr="00406EBF" w:rsidRDefault="00E20BFB" w:rsidP="00E20BFB">
          <w:pPr>
            <w:pStyle w:val="Paragraphedeliste"/>
            <w:rPr>
              <w:rFonts w:cstheme="minorHAnsi"/>
              <w:sz w:val="23"/>
              <w:szCs w:val="23"/>
            </w:rPr>
          </w:pPr>
        </w:p>
        <w:p w14:paraId="53901AD4" w14:textId="77777777" w:rsidR="006608FA" w:rsidRPr="00406EBF" w:rsidRDefault="00E20BFB" w:rsidP="00EB577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Il n’y a pas de règles spécifiques relatives à la détention d’intérêts financiers. </w:t>
          </w:r>
        </w:p>
        <w:p w14:paraId="5A621EA4" w14:textId="77777777" w:rsidR="00FC4D12" w:rsidRPr="00406EBF" w:rsidRDefault="00FC4D12" w:rsidP="00FC4D12">
          <w:pPr>
            <w:pStyle w:val="Paragraphedeliste"/>
            <w:rPr>
              <w:rFonts w:cstheme="minorHAnsi"/>
              <w:sz w:val="23"/>
              <w:szCs w:val="23"/>
            </w:rPr>
          </w:pPr>
        </w:p>
        <w:p w14:paraId="013E5B70" w14:textId="67DC3A41" w:rsidR="00FC4D12" w:rsidRPr="004409F8" w:rsidRDefault="00FC4D12" w:rsidP="00EB577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Comme s’agissant des conflits d’intérêts, l’EEG estime qu’il sera nécessaire d’introduire, dans le futur cadre déontologique qui devra s’appliquer aux PHFE, des règles spécifiques sur l</w:t>
          </w:r>
          <w:r w:rsidR="00D8389A" w:rsidRPr="00406EBF">
            <w:rPr>
              <w:rFonts w:cstheme="minorHAnsi"/>
              <w:sz w:val="23"/>
              <w:szCs w:val="23"/>
            </w:rPr>
            <w:t>’exercice d’</w:t>
          </w:r>
          <w:r w:rsidRPr="00406EBF">
            <w:rPr>
              <w:rFonts w:cstheme="minorHAnsi"/>
              <w:sz w:val="23"/>
              <w:szCs w:val="23"/>
            </w:rPr>
            <w:t>activités accessoires. La situation des membres des organes stratégiques</w:t>
          </w:r>
          <w:r w:rsidR="005E6076" w:rsidRPr="00406EBF">
            <w:rPr>
              <w:rFonts w:cstheme="minorHAnsi"/>
              <w:sz w:val="23"/>
              <w:szCs w:val="23"/>
            </w:rPr>
            <w:t>/cabinets</w:t>
          </w:r>
          <w:r w:rsidRPr="00406EBF">
            <w:rPr>
              <w:rFonts w:cstheme="minorHAnsi"/>
              <w:sz w:val="23"/>
              <w:szCs w:val="23"/>
            </w:rPr>
            <w:t xml:space="preserve"> exerçant leur activité à temps partiel devra notamment être examinée avec attention à cette occasion. Référence est faite au </w:t>
          </w:r>
          <w:r w:rsidRPr="004409F8">
            <w:rPr>
              <w:rFonts w:cstheme="minorHAnsi"/>
              <w:sz w:val="23"/>
              <w:szCs w:val="23"/>
            </w:rPr>
            <w:t xml:space="preserve">paragraphe </w:t>
          </w:r>
          <w:r w:rsidR="00A712BB" w:rsidRPr="004409F8">
            <w:rPr>
              <w:rFonts w:cstheme="minorHAnsi"/>
              <w:sz w:val="23"/>
              <w:szCs w:val="23"/>
            </w:rPr>
            <w:t>45</w:t>
          </w:r>
          <w:r w:rsidRPr="004409F8">
            <w:rPr>
              <w:rFonts w:cstheme="minorHAnsi"/>
              <w:sz w:val="23"/>
              <w:szCs w:val="23"/>
            </w:rPr>
            <w:t xml:space="preserve"> et à la recommandation </w:t>
          </w:r>
          <w:r w:rsidR="00B23984" w:rsidRPr="004409F8">
            <w:rPr>
              <w:rFonts w:cstheme="minorHAnsi"/>
              <w:sz w:val="23"/>
              <w:szCs w:val="23"/>
            </w:rPr>
            <w:t>i</w:t>
          </w:r>
          <w:r w:rsidR="00A712BB" w:rsidRPr="004409F8">
            <w:rPr>
              <w:rFonts w:cstheme="minorHAnsi"/>
              <w:sz w:val="23"/>
              <w:szCs w:val="23"/>
            </w:rPr>
            <w:t>ii.</w:t>
          </w:r>
        </w:p>
        <w:p w14:paraId="504693B4" w14:textId="77777777" w:rsidR="006A5B87" w:rsidRPr="00406EBF" w:rsidRDefault="006A5B87" w:rsidP="001878CC">
          <w:pPr>
            <w:spacing w:line="240" w:lineRule="auto"/>
            <w:jc w:val="both"/>
            <w:rPr>
              <w:rFonts w:cstheme="minorHAnsi"/>
              <w:sz w:val="23"/>
              <w:szCs w:val="23"/>
            </w:rPr>
          </w:pPr>
        </w:p>
        <w:p w14:paraId="3E9D4D30" w14:textId="77777777" w:rsidR="006608FA" w:rsidRPr="00406EBF" w:rsidRDefault="006608FA"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64" w:name="_Toc2777395"/>
          <w:bookmarkStart w:id="65" w:name="_Toc21339568"/>
          <w:r w:rsidRPr="00406EBF">
            <w:rPr>
              <w:rFonts w:asciiTheme="minorHAnsi" w:hAnsiTheme="minorHAnsi" w:cstheme="minorHAnsi"/>
              <w:b w:val="0"/>
              <w:i/>
              <w:color w:val="auto"/>
              <w:sz w:val="23"/>
              <w:szCs w:val="23"/>
            </w:rPr>
            <w:t>Cadeaux</w:t>
          </w:r>
          <w:bookmarkEnd w:id="64"/>
          <w:bookmarkEnd w:id="65"/>
        </w:p>
        <w:p w14:paraId="33A705DA" w14:textId="77777777" w:rsidR="00612B1E" w:rsidRPr="00406EBF" w:rsidRDefault="00612B1E" w:rsidP="001878CC">
          <w:pPr>
            <w:spacing w:line="240" w:lineRule="auto"/>
            <w:jc w:val="both"/>
            <w:rPr>
              <w:i/>
              <w:sz w:val="23"/>
              <w:szCs w:val="23"/>
            </w:rPr>
          </w:pPr>
        </w:p>
        <w:p w14:paraId="299846C0" w14:textId="0B7AB51B" w:rsidR="0002163E" w:rsidRPr="00406EBF" w:rsidRDefault="00A3667D"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Aucune règle relative à la réception de cadeaux, d’invitations ou d’avantages n’est applicable aux ministres. S’agissant des membres des organes stratégiques, là encore seuls les chefs </w:t>
          </w:r>
          <w:r w:rsidR="00CC3E23">
            <w:rPr>
              <w:rFonts w:cstheme="minorHAnsi"/>
              <w:sz w:val="23"/>
              <w:szCs w:val="23"/>
            </w:rPr>
            <w:t xml:space="preserve">de cabinet </w:t>
          </w:r>
          <w:r w:rsidRPr="00406EBF">
            <w:rPr>
              <w:rFonts w:cstheme="minorHAnsi"/>
              <w:sz w:val="23"/>
              <w:szCs w:val="23"/>
            </w:rPr>
            <w:t>et chefs</w:t>
          </w:r>
          <w:r w:rsidR="00CC3E23">
            <w:rPr>
              <w:rFonts w:cstheme="minorHAnsi"/>
              <w:sz w:val="23"/>
              <w:szCs w:val="23"/>
            </w:rPr>
            <w:t xml:space="preserve"> de cabinet</w:t>
          </w:r>
          <w:r w:rsidRPr="00406EBF">
            <w:rPr>
              <w:rFonts w:cstheme="minorHAnsi"/>
              <w:sz w:val="23"/>
              <w:szCs w:val="23"/>
            </w:rPr>
            <w:t xml:space="preserve"> adjoints, ainsi que les </w:t>
          </w:r>
          <w:r w:rsidR="00A05BEB">
            <w:rPr>
              <w:rFonts w:cstheme="minorHAnsi"/>
              <w:sz w:val="23"/>
              <w:szCs w:val="23"/>
            </w:rPr>
            <w:t>directeurs</w:t>
          </w:r>
          <w:r w:rsidR="000153D9">
            <w:rPr>
              <w:rFonts w:cstheme="minorHAnsi"/>
              <w:sz w:val="23"/>
              <w:szCs w:val="23"/>
            </w:rPr>
            <w:t xml:space="preserve"> </w:t>
          </w:r>
          <w:r w:rsidRPr="00406EBF">
            <w:rPr>
              <w:rFonts w:cstheme="minorHAnsi"/>
              <w:sz w:val="23"/>
              <w:szCs w:val="23"/>
            </w:rPr>
            <w:t xml:space="preserve">sont couverts par </w:t>
          </w:r>
          <w:r w:rsidR="000153D9">
            <w:rPr>
              <w:rFonts w:cstheme="minorHAnsi"/>
              <w:sz w:val="23"/>
              <w:szCs w:val="23"/>
            </w:rPr>
            <w:t>le</w:t>
          </w:r>
          <w:r w:rsidRPr="00406EBF">
            <w:rPr>
              <w:rFonts w:cstheme="minorHAnsi"/>
              <w:sz w:val="23"/>
              <w:szCs w:val="23"/>
            </w:rPr>
            <w:t xml:space="preserve"> Code de déontologie des mandataires publics (art. 4.6 et 4.7). </w:t>
          </w:r>
          <w:r w:rsidR="000153D9">
            <w:rPr>
              <w:rFonts w:cstheme="minorHAnsi"/>
              <w:sz w:val="23"/>
              <w:szCs w:val="23"/>
            </w:rPr>
            <w:t>C</w:t>
          </w:r>
          <w:r w:rsidRPr="00406EBF">
            <w:rPr>
              <w:rFonts w:cstheme="minorHAnsi"/>
              <w:sz w:val="23"/>
              <w:szCs w:val="23"/>
            </w:rPr>
            <w:t>e texte interdit aux agents concernés, de solliciter ou d’accepter tout avantage, sauf cadeau de valeur symbolique. Le Code de déontologie des mandataires publics ajoute que si le fait de refuser un cadeau est susceptible de poser un problème, la personne concernée remettra ce cadeau à un organisme belge d’intérêt public de son choix.</w:t>
          </w:r>
        </w:p>
        <w:p w14:paraId="51DF0353" w14:textId="77777777" w:rsidR="00A3667D" w:rsidRPr="00406EBF" w:rsidRDefault="00A3667D" w:rsidP="00A3667D">
          <w:pPr>
            <w:tabs>
              <w:tab w:val="left" w:pos="709"/>
            </w:tabs>
            <w:spacing w:line="240" w:lineRule="auto"/>
            <w:jc w:val="both"/>
            <w:rPr>
              <w:rFonts w:cstheme="minorHAnsi"/>
              <w:sz w:val="23"/>
              <w:szCs w:val="23"/>
            </w:rPr>
          </w:pPr>
        </w:p>
        <w:p w14:paraId="738F5D3E" w14:textId="77777777" w:rsidR="00A3667D" w:rsidRPr="00406EBF" w:rsidRDefault="00F76C26"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règles précitées sont lacunaires, tant par leur contenu que par le champ des personnes auxquelles elles s’appliquent. Ainsi, la notion de cadeau symbolique n’est pas définie</w:t>
          </w:r>
          <w:r w:rsidR="0007667C" w:rsidRPr="00406EBF">
            <w:rPr>
              <w:rFonts w:cstheme="minorHAnsi"/>
              <w:sz w:val="23"/>
              <w:szCs w:val="23"/>
            </w:rPr>
            <w:t xml:space="preserve">, ce qui peut donner lieu à des divergences d’interprétation quant aux cadeaux pouvant être acceptés. La notion d’avantage mériterait d’être mieux illustrée par des exemples pratiques, faisant référence notamment aux invitations ou au sponsoring. Enfin, l’EEG estime qu’un régime de déclaration et d’enregistrement des cadeaux reçus par les PHFE dans leur capacité professionnelle devrait être instauré, à des fins de transparence. Ceci devrait permettre au public d’être régulièrement informé des cadeaux reçus par les PHFE et de l’identité des donateurs. Ce régime devrait bien évidemment s’appliquer à l’ensemble des PHFE, ministres et membres des organes stratégiques. A la lumière de ce qui précède, </w:t>
          </w:r>
          <w:r w:rsidR="0007667C" w:rsidRPr="00406EBF">
            <w:rPr>
              <w:rFonts w:cstheme="minorHAnsi"/>
              <w:b/>
              <w:sz w:val="23"/>
              <w:szCs w:val="23"/>
            </w:rPr>
            <w:t xml:space="preserve">le GRECO recommande </w:t>
          </w:r>
          <w:bookmarkStart w:id="66" w:name="_Hlk26528660"/>
          <w:r w:rsidR="0007667C" w:rsidRPr="00406EBF">
            <w:rPr>
              <w:rFonts w:cstheme="minorHAnsi"/>
              <w:b/>
              <w:sz w:val="23"/>
              <w:szCs w:val="23"/>
            </w:rPr>
            <w:t xml:space="preserve">d’établir des règles </w:t>
          </w:r>
          <w:r w:rsidR="00016984" w:rsidRPr="00406EBF">
            <w:rPr>
              <w:rFonts w:cstheme="minorHAnsi"/>
              <w:b/>
              <w:sz w:val="23"/>
              <w:szCs w:val="23"/>
            </w:rPr>
            <w:t>complètes</w:t>
          </w:r>
          <w:r w:rsidR="0007667C" w:rsidRPr="00406EBF">
            <w:rPr>
              <w:rFonts w:cstheme="minorHAnsi"/>
              <w:b/>
              <w:sz w:val="23"/>
              <w:szCs w:val="23"/>
            </w:rPr>
            <w:t xml:space="preserve"> en matière de cadeaux et autres avantages pour les personnes occupant de hautes fonctions de l’exécutif, sous la forme de directives pratiques pertinentes, de l’obligation de déclaration des cadeaux et autres avantages et d’information du public</w:t>
          </w:r>
          <w:bookmarkEnd w:id="66"/>
          <w:r w:rsidR="0007667C" w:rsidRPr="00406EBF">
            <w:rPr>
              <w:rFonts w:cstheme="minorHAnsi"/>
              <w:b/>
              <w:sz w:val="23"/>
              <w:szCs w:val="23"/>
            </w:rPr>
            <w:t>.</w:t>
          </w:r>
        </w:p>
        <w:p w14:paraId="5DF90869" w14:textId="77777777" w:rsidR="00A3667D" w:rsidRPr="00406EBF" w:rsidRDefault="00A3667D" w:rsidP="00A3667D">
          <w:pPr>
            <w:tabs>
              <w:tab w:val="left" w:pos="709"/>
            </w:tabs>
            <w:spacing w:line="240" w:lineRule="auto"/>
            <w:jc w:val="both"/>
            <w:rPr>
              <w:rFonts w:cstheme="minorHAnsi"/>
              <w:sz w:val="23"/>
              <w:szCs w:val="23"/>
            </w:rPr>
          </w:pPr>
        </w:p>
        <w:p w14:paraId="35C48BC5" w14:textId="77777777" w:rsidR="00D8389A" w:rsidRPr="00406EBF" w:rsidRDefault="00D8389A" w:rsidP="00D8389A">
          <w:pPr>
            <w:pStyle w:val="Titre3"/>
            <w:keepLines w:val="0"/>
            <w:tabs>
              <w:tab w:val="left" w:pos="709"/>
            </w:tabs>
            <w:spacing w:before="0" w:line="240" w:lineRule="auto"/>
            <w:rPr>
              <w:rFonts w:asciiTheme="minorHAnsi" w:hAnsiTheme="minorHAnsi" w:cstheme="minorHAnsi"/>
              <w:b w:val="0"/>
              <w:i/>
              <w:color w:val="auto"/>
              <w:sz w:val="23"/>
              <w:szCs w:val="23"/>
            </w:rPr>
          </w:pPr>
          <w:bookmarkStart w:id="67" w:name="_Toc2777394"/>
          <w:bookmarkStart w:id="68" w:name="_Toc21339569"/>
          <w:r w:rsidRPr="00406EBF">
            <w:rPr>
              <w:rFonts w:asciiTheme="minorHAnsi" w:hAnsiTheme="minorHAnsi" w:cstheme="minorHAnsi"/>
              <w:b w:val="0"/>
              <w:i/>
              <w:color w:val="auto"/>
              <w:sz w:val="23"/>
              <w:szCs w:val="23"/>
            </w:rPr>
            <w:t>Contrats avec des autorités étatiques</w:t>
          </w:r>
          <w:bookmarkEnd w:id="67"/>
          <w:r w:rsidRPr="00406EBF">
            <w:rPr>
              <w:rFonts w:asciiTheme="minorHAnsi" w:hAnsiTheme="minorHAnsi" w:cstheme="minorHAnsi"/>
              <w:b w:val="0"/>
              <w:i/>
              <w:color w:val="auto"/>
              <w:sz w:val="23"/>
              <w:szCs w:val="23"/>
            </w:rPr>
            <w:t>, utilisation abusive de ressources publiques</w:t>
          </w:r>
          <w:bookmarkEnd w:id="68"/>
        </w:p>
        <w:p w14:paraId="5032E66C" w14:textId="77777777" w:rsidR="00D8389A" w:rsidRPr="00406EBF" w:rsidRDefault="00D8389A" w:rsidP="00D8389A">
          <w:pPr>
            <w:spacing w:line="240" w:lineRule="auto"/>
            <w:jc w:val="both"/>
            <w:rPr>
              <w:rFonts w:cstheme="minorHAnsi"/>
              <w:sz w:val="23"/>
              <w:szCs w:val="23"/>
            </w:rPr>
          </w:pPr>
        </w:p>
        <w:p w14:paraId="4BBE9F9D" w14:textId="7D8289CC" w:rsidR="00D8389A" w:rsidRPr="00406EBF" w:rsidRDefault="00D8389A" w:rsidP="00EB577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Il n’y a pas de règles spécifiques relatives aux contrats avec des autorités étatiques</w:t>
          </w:r>
          <w:r w:rsidR="007B5E8B">
            <w:rPr>
              <w:rFonts w:cstheme="minorHAnsi"/>
              <w:sz w:val="23"/>
              <w:szCs w:val="23"/>
            </w:rPr>
            <w:t xml:space="preserve">. Quant </w:t>
          </w:r>
          <w:r w:rsidRPr="00406EBF">
            <w:rPr>
              <w:rFonts w:cstheme="minorHAnsi"/>
              <w:sz w:val="23"/>
              <w:szCs w:val="23"/>
            </w:rPr>
            <w:t xml:space="preserve"> à l’utilisation abusive de ressources publiques</w:t>
          </w:r>
          <w:r w:rsidR="007B5E8B">
            <w:rPr>
              <w:rFonts w:cstheme="minorHAnsi"/>
              <w:sz w:val="23"/>
              <w:szCs w:val="23"/>
            </w:rPr>
            <w:t>, l</w:t>
          </w:r>
          <w:r w:rsidR="00A27A70">
            <w:rPr>
              <w:rFonts w:cstheme="minorHAnsi"/>
              <w:sz w:val="23"/>
              <w:szCs w:val="23"/>
            </w:rPr>
            <w:t>e point</w:t>
          </w:r>
          <w:r w:rsidR="007B5E8B">
            <w:rPr>
              <w:rFonts w:cstheme="minorHAnsi"/>
              <w:sz w:val="23"/>
              <w:szCs w:val="23"/>
            </w:rPr>
            <w:t xml:space="preserve"> 4.18 du Code de déontologie des mandataires publics stipule que les deniers publics doivent être dépensés de manière raisonnable et que les biens de la collectivité doivent être gérés en bon père de famille</w:t>
          </w:r>
          <w:r w:rsidR="00C616A3">
            <w:rPr>
              <w:rFonts w:cstheme="minorHAnsi"/>
              <w:sz w:val="23"/>
              <w:szCs w:val="23"/>
            </w:rPr>
            <w:t>.</w:t>
          </w:r>
        </w:p>
        <w:p w14:paraId="6AFE36D4" w14:textId="77777777" w:rsidR="00D8389A" w:rsidRPr="00406EBF" w:rsidRDefault="00D8389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69" w:name="_Toc2777397"/>
        </w:p>
        <w:p w14:paraId="358A5954"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70" w:name="_Toc21339570"/>
          <w:r w:rsidRPr="00406EBF">
            <w:rPr>
              <w:rFonts w:asciiTheme="minorHAnsi" w:hAnsiTheme="minorHAnsi" w:cstheme="minorHAnsi"/>
              <w:b w:val="0"/>
              <w:i/>
              <w:color w:val="auto"/>
              <w:sz w:val="23"/>
              <w:szCs w:val="23"/>
            </w:rPr>
            <w:t>Utilisation abusive d’informations confidentielles</w:t>
          </w:r>
          <w:bookmarkEnd w:id="69"/>
          <w:bookmarkEnd w:id="70"/>
        </w:p>
        <w:p w14:paraId="1791BE2A" w14:textId="77777777" w:rsidR="00612B1E" w:rsidRPr="00406EBF" w:rsidRDefault="00612B1E" w:rsidP="001878CC">
          <w:pPr>
            <w:spacing w:line="240" w:lineRule="auto"/>
            <w:jc w:val="both"/>
            <w:rPr>
              <w:i/>
              <w:sz w:val="23"/>
              <w:szCs w:val="23"/>
            </w:rPr>
          </w:pPr>
        </w:p>
        <w:p w14:paraId="4D391225" w14:textId="40CE92E3" w:rsidR="00612B1E" w:rsidRPr="004409F8" w:rsidRDefault="000F7A8F"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Une obligation de respect des règles en matière de confidentialité des documents figure dans le </w:t>
          </w:r>
          <w:r w:rsidR="00AD63FD" w:rsidRPr="00406EBF">
            <w:rPr>
              <w:rFonts w:cstheme="minorHAnsi"/>
              <w:sz w:val="23"/>
              <w:szCs w:val="23"/>
            </w:rPr>
            <w:t>Code de déontologie</w:t>
          </w:r>
          <w:r w:rsidRPr="00406EBF">
            <w:rPr>
              <w:rFonts w:cstheme="minorHAnsi"/>
              <w:sz w:val="23"/>
              <w:szCs w:val="23"/>
            </w:rPr>
            <w:t xml:space="preserve"> des mandataires publics (art. 4.20). Elle ne vise donc que les </w:t>
          </w:r>
          <w:r w:rsidR="00E0340D">
            <w:rPr>
              <w:rFonts w:cstheme="minorHAnsi"/>
              <w:sz w:val="23"/>
              <w:szCs w:val="23"/>
            </w:rPr>
            <w:t>PHFE soumis à ce texte</w:t>
          </w:r>
          <w:r w:rsidRPr="00406EBF">
            <w:rPr>
              <w:rFonts w:cstheme="minorHAnsi"/>
              <w:sz w:val="23"/>
              <w:szCs w:val="23"/>
            </w:rPr>
            <w:t xml:space="preserve">. </w:t>
          </w:r>
          <w:r w:rsidR="00E0340D">
            <w:rPr>
              <w:rFonts w:cstheme="minorHAnsi"/>
              <w:sz w:val="23"/>
              <w:szCs w:val="23"/>
            </w:rPr>
            <w:t xml:space="preserve">Des « directives pour les secrétariats, la cellule de coordination générale de la politique, les cellules de politique générale et les cellules stratégiques » émises par la Chancellerie du Premier ministre le 24 février 2017 contiennent les procédures à suivre pour le traitement des documents classifiés. </w:t>
          </w:r>
          <w:r w:rsidRPr="00406EBF">
            <w:rPr>
              <w:rFonts w:cstheme="minorHAnsi"/>
              <w:sz w:val="23"/>
              <w:szCs w:val="23"/>
            </w:rPr>
            <w:t>L’EEG estime que la question de la confidentialité</w:t>
          </w:r>
          <w:r w:rsidR="00AD63FD" w:rsidRPr="00406EBF">
            <w:rPr>
              <w:rFonts w:cstheme="minorHAnsi"/>
              <w:sz w:val="23"/>
              <w:szCs w:val="23"/>
            </w:rPr>
            <w:t xml:space="preserve">, </w:t>
          </w:r>
          <w:r w:rsidRPr="00406EBF">
            <w:rPr>
              <w:rFonts w:cstheme="minorHAnsi"/>
              <w:sz w:val="23"/>
              <w:szCs w:val="23"/>
            </w:rPr>
            <w:t xml:space="preserve">non seulement des documents, mais aussi des informations obtenues dans le cadre des fonctions gouvernementales doit </w:t>
          </w:r>
          <w:r w:rsidR="00E0340D">
            <w:rPr>
              <w:rFonts w:cstheme="minorHAnsi"/>
              <w:sz w:val="23"/>
              <w:szCs w:val="23"/>
            </w:rPr>
            <w:t xml:space="preserve">également </w:t>
          </w:r>
          <w:r w:rsidRPr="00406EBF">
            <w:rPr>
              <w:rFonts w:cstheme="minorHAnsi"/>
              <w:sz w:val="23"/>
              <w:szCs w:val="23"/>
            </w:rPr>
            <w:t xml:space="preserve">être traitée dans le cadre déontologique dont l’adoption est recommandée au </w:t>
          </w:r>
          <w:r w:rsidRPr="004409F8">
            <w:rPr>
              <w:rFonts w:cstheme="minorHAnsi"/>
              <w:sz w:val="23"/>
              <w:szCs w:val="23"/>
            </w:rPr>
            <w:t xml:space="preserve">paragraphe </w:t>
          </w:r>
          <w:r w:rsidR="00BE2A81" w:rsidRPr="004409F8">
            <w:rPr>
              <w:rFonts w:cstheme="minorHAnsi"/>
              <w:sz w:val="23"/>
              <w:szCs w:val="23"/>
            </w:rPr>
            <w:t>45</w:t>
          </w:r>
          <w:r w:rsidRPr="004409F8">
            <w:rPr>
              <w:rFonts w:cstheme="minorHAnsi"/>
              <w:sz w:val="23"/>
              <w:szCs w:val="23"/>
            </w:rPr>
            <w:t>.</w:t>
          </w:r>
        </w:p>
        <w:p w14:paraId="2179FAD2" w14:textId="77777777" w:rsidR="00612B1E" w:rsidRPr="00406EBF" w:rsidRDefault="00612B1E" w:rsidP="001878CC">
          <w:pPr>
            <w:spacing w:line="240" w:lineRule="auto"/>
            <w:jc w:val="both"/>
            <w:rPr>
              <w:rFonts w:cstheme="minorHAnsi"/>
              <w:sz w:val="23"/>
              <w:szCs w:val="23"/>
            </w:rPr>
          </w:pPr>
        </w:p>
        <w:p w14:paraId="5F981AE9" w14:textId="77777777" w:rsidR="006608FA" w:rsidRPr="00406EBF" w:rsidRDefault="006608FA"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71" w:name="_Toc2777398"/>
          <w:bookmarkStart w:id="72" w:name="_Toc21339571"/>
          <w:r w:rsidRPr="00406EBF">
            <w:rPr>
              <w:rFonts w:asciiTheme="minorHAnsi" w:hAnsiTheme="minorHAnsi" w:cstheme="minorHAnsi"/>
              <w:b w:val="0"/>
              <w:i/>
              <w:color w:val="auto"/>
              <w:sz w:val="23"/>
              <w:szCs w:val="23"/>
            </w:rPr>
            <w:t>Restrictions après la fin des fonctions</w:t>
          </w:r>
          <w:bookmarkEnd w:id="71"/>
          <w:bookmarkEnd w:id="72"/>
        </w:p>
        <w:p w14:paraId="694D4791" w14:textId="77777777" w:rsidR="006608FA" w:rsidRPr="00406EBF" w:rsidRDefault="006608FA" w:rsidP="001878CC">
          <w:pPr>
            <w:spacing w:line="240" w:lineRule="auto"/>
            <w:jc w:val="both"/>
            <w:rPr>
              <w:rFonts w:cstheme="minorHAnsi"/>
              <w:sz w:val="23"/>
              <w:szCs w:val="23"/>
            </w:rPr>
          </w:pPr>
        </w:p>
        <w:p w14:paraId="54BF673B" w14:textId="20CA3056" w:rsidR="00612B1E" w:rsidRPr="00406EBF" w:rsidRDefault="008F39D8"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seule règle existante vise là encore les </w:t>
          </w:r>
          <w:r w:rsidR="00E0340D">
            <w:rPr>
              <w:rFonts w:cstheme="minorHAnsi"/>
              <w:sz w:val="23"/>
              <w:szCs w:val="23"/>
            </w:rPr>
            <w:t xml:space="preserve">PHFE soumises au </w:t>
          </w:r>
          <w:r w:rsidR="00021F9D" w:rsidRPr="00406EBF">
            <w:rPr>
              <w:rFonts w:cstheme="minorHAnsi"/>
              <w:sz w:val="23"/>
              <w:szCs w:val="23"/>
            </w:rPr>
            <w:t>C</w:t>
          </w:r>
          <w:r w:rsidR="00E70832" w:rsidRPr="00406EBF">
            <w:rPr>
              <w:rFonts w:cstheme="minorHAnsi"/>
              <w:sz w:val="23"/>
              <w:szCs w:val="23"/>
            </w:rPr>
            <w:t xml:space="preserve">ode de déontologie des mandataires publics </w:t>
          </w:r>
          <w:r w:rsidR="00021F9D" w:rsidRPr="00406EBF">
            <w:rPr>
              <w:rFonts w:cstheme="minorHAnsi"/>
              <w:sz w:val="23"/>
              <w:szCs w:val="23"/>
            </w:rPr>
            <w:t xml:space="preserve">(art. 4.21). Elle se limite à </w:t>
          </w:r>
          <w:r w:rsidR="00E70832" w:rsidRPr="00406EBF">
            <w:rPr>
              <w:rFonts w:cstheme="minorHAnsi"/>
              <w:sz w:val="23"/>
              <w:szCs w:val="23"/>
            </w:rPr>
            <w:t>précise</w:t>
          </w:r>
          <w:r w:rsidR="00021F9D" w:rsidRPr="00406EBF">
            <w:rPr>
              <w:rFonts w:cstheme="minorHAnsi"/>
              <w:sz w:val="23"/>
              <w:szCs w:val="23"/>
            </w:rPr>
            <w:t>r</w:t>
          </w:r>
          <w:r w:rsidR="00E70832" w:rsidRPr="00406EBF">
            <w:rPr>
              <w:rFonts w:cstheme="minorHAnsi"/>
              <w:sz w:val="23"/>
              <w:szCs w:val="23"/>
            </w:rPr>
            <w:t xml:space="preserve"> que ceux-ci « </w:t>
          </w:r>
          <w:r w:rsidR="00E70832" w:rsidRPr="00406EBF">
            <w:rPr>
              <w:rFonts w:cstheme="minorHAnsi"/>
              <w:i/>
              <w:sz w:val="23"/>
              <w:szCs w:val="23"/>
            </w:rPr>
            <w:t>doivent respecter, après la cessation de leurs fonctions, les obligations découlant de leur charge, notamment les devoirs d’honnêteté et de délicatesse quan</w:t>
          </w:r>
          <w:r w:rsidR="00F15330" w:rsidRPr="00406EBF">
            <w:rPr>
              <w:rFonts w:cstheme="minorHAnsi"/>
              <w:i/>
              <w:sz w:val="23"/>
              <w:szCs w:val="23"/>
            </w:rPr>
            <w:t>t</w:t>
          </w:r>
          <w:r w:rsidR="00E70832" w:rsidRPr="00406EBF">
            <w:rPr>
              <w:rFonts w:cstheme="minorHAnsi"/>
              <w:i/>
              <w:sz w:val="23"/>
              <w:szCs w:val="23"/>
            </w:rPr>
            <w:t xml:space="preserve"> à l’acceptation de certaines fonctions ou avantages</w:t>
          </w:r>
          <w:r w:rsidR="00E70832" w:rsidRPr="00406EBF">
            <w:rPr>
              <w:rFonts w:cstheme="minorHAnsi"/>
              <w:sz w:val="23"/>
              <w:szCs w:val="23"/>
            </w:rPr>
            <w:t> ».</w:t>
          </w:r>
          <w:r w:rsidR="00021F9D" w:rsidRPr="00406EBF">
            <w:rPr>
              <w:rFonts w:cstheme="minorHAnsi"/>
              <w:sz w:val="23"/>
              <w:szCs w:val="23"/>
            </w:rPr>
            <w:t xml:space="preserve"> </w:t>
          </w:r>
        </w:p>
        <w:p w14:paraId="4DE82F4E" w14:textId="77777777" w:rsidR="00021F9D" w:rsidRPr="00406EBF" w:rsidRDefault="00021F9D" w:rsidP="00021F9D">
          <w:pPr>
            <w:tabs>
              <w:tab w:val="left" w:pos="709"/>
            </w:tabs>
            <w:spacing w:line="240" w:lineRule="auto"/>
            <w:jc w:val="both"/>
            <w:rPr>
              <w:rFonts w:cstheme="minorHAnsi"/>
              <w:sz w:val="23"/>
              <w:szCs w:val="23"/>
            </w:rPr>
          </w:pPr>
        </w:p>
        <w:p w14:paraId="5F6B9A40" w14:textId="4119FBA0" w:rsidR="00021F9D" w:rsidRPr="00406EBF" w:rsidRDefault="00021F9D" w:rsidP="001878CC">
          <w:pPr>
            <w:numPr>
              <w:ilvl w:val="0"/>
              <w:numId w:val="1"/>
            </w:numPr>
            <w:tabs>
              <w:tab w:val="left" w:pos="709"/>
            </w:tabs>
            <w:spacing w:line="240" w:lineRule="auto"/>
            <w:ind w:left="0" w:firstLine="0"/>
            <w:jc w:val="both"/>
            <w:rPr>
              <w:rFonts w:cstheme="minorHAnsi"/>
              <w:sz w:val="23"/>
              <w:szCs w:val="23"/>
            </w:rPr>
          </w:pPr>
          <w:r w:rsidRPr="00F43E55">
            <w:rPr>
              <w:rFonts w:cstheme="minorHAnsi"/>
              <w:sz w:val="23"/>
              <w:szCs w:val="23"/>
            </w:rPr>
            <w:t>Cette règle est bien insuffisante, de l’avis de l’EEG, qui souligne en outre qu</w:t>
          </w:r>
          <w:r w:rsidR="00E0340D" w:rsidRPr="00F43E55">
            <w:rPr>
              <w:rFonts w:cstheme="minorHAnsi"/>
              <w:sz w:val="23"/>
              <w:szCs w:val="23"/>
            </w:rPr>
            <w:t xml:space="preserve">e quasiment </w:t>
          </w:r>
          <w:r w:rsidRPr="00F43E55">
            <w:rPr>
              <w:rFonts w:cstheme="minorHAnsi"/>
              <w:sz w:val="23"/>
              <w:szCs w:val="23"/>
            </w:rPr>
            <w:t>aucune règle ne s’applique aux ministres</w:t>
          </w:r>
          <w:r w:rsidR="00E0340D">
            <w:rPr>
              <w:rStyle w:val="Appelnotedebasdep"/>
              <w:rFonts w:cstheme="minorHAnsi"/>
              <w:sz w:val="23"/>
              <w:szCs w:val="23"/>
            </w:rPr>
            <w:footnoteReference w:id="29"/>
          </w:r>
          <w:r w:rsidRPr="00F43E55">
            <w:rPr>
              <w:rFonts w:cstheme="minorHAnsi"/>
              <w:sz w:val="23"/>
              <w:szCs w:val="23"/>
            </w:rPr>
            <w:t xml:space="preserve"> et </w:t>
          </w:r>
          <w:r w:rsidR="00E0340D" w:rsidRPr="00F43E55">
            <w:rPr>
              <w:rFonts w:cstheme="minorHAnsi"/>
              <w:sz w:val="23"/>
              <w:szCs w:val="23"/>
            </w:rPr>
            <w:t xml:space="preserve">aucune aux </w:t>
          </w:r>
          <w:r w:rsidRPr="00F43E55">
            <w:rPr>
              <w:rFonts w:cstheme="minorHAnsi"/>
              <w:sz w:val="23"/>
              <w:szCs w:val="23"/>
            </w:rPr>
            <w:t>membres des organes stratégiques</w:t>
          </w:r>
          <w:r w:rsidR="005E6076" w:rsidRPr="00F43E55">
            <w:rPr>
              <w:rFonts w:cstheme="minorHAnsi"/>
              <w:sz w:val="23"/>
              <w:szCs w:val="23"/>
            </w:rPr>
            <w:t>/cabinets</w:t>
          </w:r>
          <w:r w:rsidRPr="00F43E55">
            <w:rPr>
              <w:rFonts w:cstheme="minorHAnsi"/>
              <w:sz w:val="23"/>
              <w:szCs w:val="23"/>
            </w:rPr>
            <w:t xml:space="preserve">. </w:t>
          </w:r>
          <w:r w:rsidRPr="00406EBF">
            <w:rPr>
              <w:rFonts w:cstheme="minorHAnsi"/>
              <w:sz w:val="23"/>
              <w:szCs w:val="23"/>
            </w:rPr>
            <w:t>Lors des entretiens pendant la visite sur place, de nombreux exemples de pantouflages – ou de « tourniquets » selon la terminologie belge – lui ont été cités, visant tant des anciens ministres que des anciens membres de leurs organes stratégiques : un ancien ministre de la Justice a ainsi rejoint une entreprise de télécommunications,</w:t>
          </w:r>
          <w:r w:rsidR="008940BA" w:rsidRPr="00406EBF">
            <w:rPr>
              <w:rFonts w:cstheme="minorHAnsi"/>
              <w:sz w:val="23"/>
              <w:szCs w:val="23"/>
            </w:rPr>
            <w:t xml:space="preserve"> un ancien chef et un membre de la cellule stratégique d’un ministre des Finances ont créé un cabinet d’avocat spécialisé dans le conseil des multinationales ayant eu recours aux « </w:t>
          </w:r>
          <w:r w:rsidR="008940BA" w:rsidRPr="00406EBF">
            <w:rPr>
              <w:rFonts w:cstheme="minorHAnsi"/>
              <w:i/>
              <w:sz w:val="23"/>
              <w:szCs w:val="23"/>
            </w:rPr>
            <w:t>excess profit rulings</w:t>
          </w:r>
          <w:r w:rsidR="008940BA" w:rsidRPr="00406EBF">
            <w:rPr>
              <w:rFonts w:cstheme="minorHAnsi"/>
              <w:sz w:val="23"/>
              <w:szCs w:val="23"/>
            </w:rPr>
            <w:t> » condamnés par l’Union européenne. Un ancien chef de la cellule stratégique du ministre de la Défense et de la Fonction publique est devenu lobbyiste de l’avionneur Lokheed Martin, qui était justement en rapport avec ce ministère</w:t>
          </w:r>
          <w:r w:rsidR="003028FE" w:rsidRPr="00406EBF">
            <w:rPr>
              <w:rStyle w:val="Appelnotedebasdep"/>
              <w:rFonts w:cstheme="minorHAnsi"/>
              <w:sz w:val="23"/>
              <w:szCs w:val="23"/>
            </w:rPr>
            <w:footnoteReference w:id="30"/>
          </w:r>
          <w:r w:rsidR="008940BA" w:rsidRPr="00406EBF">
            <w:rPr>
              <w:rFonts w:cstheme="minorHAnsi"/>
              <w:sz w:val="23"/>
              <w:szCs w:val="23"/>
            </w:rPr>
            <w:t>.</w:t>
          </w:r>
          <w:r w:rsidR="003028FE" w:rsidRPr="00406EBF">
            <w:rPr>
              <w:rFonts w:cstheme="minorHAnsi"/>
              <w:sz w:val="23"/>
              <w:szCs w:val="23"/>
            </w:rPr>
            <w:t xml:space="preserve"> La principale conseillère en médicaments de la ministre de la Santé est partie occuper un poste important dans une société pharmaceutique avec laquelle elle avait négocié un important dossier.</w:t>
          </w:r>
        </w:p>
        <w:p w14:paraId="3E097E10" w14:textId="77777777" w:rsidR="005E6076" w:rsidRPr="00406EBF" w:rsidRDefault="005E6076" w:rsidP="005E6076">
          <w:pPr>
            <w:tabs>
              <w:tab w:val="left" w:pos="709"/>
            </w:tabs>
            <w:spacing w:line="240" w:lineRule="auto"/>
            <w:jc w:val="both"/>
            <w:rPr>
              <w:rFonts w:cstheme="minorHAnsi"/>
              <w:sz w:val="23"/>
              <w:szCs w:val="23"/>
            </w:rPr>
          </w:pPr>
        </w:p>
        <w:p w14:paraId="0D360C79" w14:textId="77777777" w:rsidR="003028FE" w:rsidRPr="00406EBF" w:rsidRDefault="00FC32DD"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L’EEG souligne l’enjeu important résidant dans la gestion des activités après la cessation des fon</w:t>
          </w:r>
          <w:r w:rsidR="00C616A3">
            <w:rPr>
              <w:rFonts w:cstheme="minorHAnsi"/>
              <w:sz w:val="23"/>
              <w:szCs w:val="23"/>
            </w:rPr>
            <w:t>c</w:t>
          </w:r>
          <w:r w:rsidRPr="00406EBF">
            <w:rPr>
              <w:rFonts w:cstheme="minorHAnsi"/>
              <w:sz w:val="23"/>
              <w:szCs w:val="23"/>
            </w:rPr>
            <w:t>tions des membres de l’exécutif, comme l’a rappelé la Médiatrice européenne dans un article thématique publié dans le rapport annuel 2016 du GRECO</w:t>
          </w:r>
          <w:r w:rsidRPr="00406EBF">
            <w:rPr>
              <w:rStyle w:val="Appelnotedebasdep"/>
              <w:rFonts w:cstheme="minorHAnsi"/>
              <w:sz w:val="23"/>
              <w:szCs w:val="23"/>
            </w:rPr>
            <w:footnoteReference w:id="31"/>
          </w:r>
          <w:r w:rsidRPr="00406EBF">
            <w:rPr>
              <w:rFonts w:cstheme="minorHAnsi"/>
              <w:sz w:val="23"/>
              <w:szCs w:val="23"/>
            </w:rPr>
            <w:t xml:space="preserve">. Compte tenu de l’absence de règles contraignantes visant l’ensemble des PHFE, </w:t>
          </w:r>
          <w:r w:rsidRPr="00406EBF">
            <w:rPr>
              <w:rFonts w:cstheme="minorHAnsi"/>
              <w:b/>
              <w:sz w:val="23"/>
              <w:szCs w:val="23"/>
            </w:rPr>
            <w:t xml:space="preserve">le GRECO recommande </w:t>
          </w:r>
          <w:bookmarkStart w:id="73" w:name="_Hlk26528677"/>
          <w:r w:rsidR="00391E57" w:rsidRPr="00406EBF">
            <w:rPr>
              <w:rFonts w:cstheme="minorHAnsi"/>
              <w:b/>
              <w:sz w:val="23"/>
              <w:szCs w:val="23"/>
            </w:rPr>
            <w:t xml:space="preserve">(i) </w:t>
          </w:r>
          <w:r w:rsidRPr="00406EBF">
            <w:rPr>
              <w:rFonts w:cstheme="minorHAnsi"/>
              <w:b/>
              <w:sz w:val="23"/>
              <w:szCs w:val="23"/>
            </w:rPr>
            <w:t xml:space="preserve">d’établir une obligation d’informer, durant une certaine période, un organe approprié de toute nouvelle activité </w:t>
          </w:r>
          <w:r w:rsidRPr="00406EBF">
            <w:rPr>
              <w:rFonts w:cstheme="minorHAnsi"/>
              <w:b/>
              <w:sz w:val="23"/>
              <w:szCs w:val="23"/>
            </w:rPr>
            <w:lastRenderedPageBreak/>
            <w:t>professionnelle entreprise par une personne occupant de hautes fonctions de l’exécutif</w:t>
          </w:r>
          <w:r w:rsidR="00391E57" w:rsidRPr="00406EBF">
            <w:rPr>
              <w:rFonts w:cstheme="minorHAnsi"/>
              <w:b/>
              <w:sz w:val="23"/>
              <w:szCs w:val="23"/>
            </w:rPr>
            <w:t xml:space="preserve"> ; (ii) </w:t>
          </w:r>
          <w:r w:rsidRPr="00406EBF">
            <w:rPr>
              <w:rFonts w:cstheme="minorHAnsi"/>
              <w:b/>
              <w:sz w:val="23"/>
              <w:szCs w:val="23"/>
            </w:rPr>
            <w:t>et, après analyse, encadrer ou prohiber, le cas échéant, ladite activité pour écarter tout soupçon de conflit d’inté</w:t>
          </w:r>
          <w:r w:rsidR="00391E57" w:rsidRPr="00406EBF">
            <w:rPr>
              <w:rFonts w:cstheme="minorHAnsi"/>
              <w:b/>
              <w:sz w:val="23"/>
              <w:szCs w:val="23"/>
            </w:rPr>
            <w:t>rêt lorsqu’elle intervient dans un domaine relevant d’un régime d’autorisation ou de surveillance par l’entité que quitte cette personne</w:t>
          </w:r>
          <w:bookmarkEnd w:id="73"/>
          <w:r w:rsidR="00391E57" w:rsidRPr="00406EBF">
            <w:rPr>
              <w:rFonts w:cstheme="minorHAnsi"/>
              <w:b/>
              <w:sz w:val="23"/>
              <w:szCs w:val="23"/>
            </w:rPr>
            <w:t>.</w:t>
          </w:r>
        </w:p>
        <w:p w14:paraId="6D893D92" w14:textId="77777777" w:rsidR="006608FA" w:rsidRPr="00406EBF" w:rsidRDefault="006608FA" w:rsidP="001878CC">
          <w:pPr>
            <w:spacing w:line="240" w:lineRule="auto"/>
            <w:jc w:val="both"/>
            <w:rPr>
              <w:rFonts w:cstheme="minorHAnsi"/>
              <w:sz w:val="23"/>
              <w:szCs w:val="23"/>
            </w:rPr>
          </w:pPr>
        </w:p>
        <w:p w14:paraId="450BEC0C" w14:textId="77777777" w:rsidR="006608FA" w:rsidRPr="00406EBF" w:rsidRDefault="006608FA" w:rsidP="001878CC">
          <w:pPr>
            <w:pStyle w:val="Titre2"/>
            <w:tabs>
              <w:tab w:val="left" w:pos="709"/>
            </w:tabs>
            <w:spacing w:before="0" w:line="240" w:lineRule="auto"/>
            <w:rPr>
              <w:rFonts w:asciiTheme="minorHAnsi" w:hAnsiTheme="minorHAnsi"/>
              <w:color w:val="auto"/>
              <w:sz w:val="23"/>
              <w:szCs w:val="23"/>
              <w:u w:val="single"/>
            </w:rPr>
          </w:pPr>
          <w:bookmarkStart w:id="74" w:name="_Toc2777399"/>
          <w:bookmarkStart w:id="75" w:name="_Toc21339572"/>
          <w:r w:rsidRPr="00406EBF">
            <w:rPr>
              <w:rFonts w:asciiTheme="minorHAnsi" w:hAnsiTheme="minorHAnsi"/>
              <w:color w:val="auto"/>
              <w:sz w:val="23"/>
              <w:szCs w:val="23"/>
              <w:u w:val="single"/>
            </w:rPr>
            <w:t>Déclaration de patrimoine, de revenus, de passif et d’intérêts</w:t>
          </w:r>
          <w:bookmarkEnd w:id="74"/>
          <w:bookmarkEnd w:id="75"/>
        </w:p>
        <w:p w14:paraId="756B5250" w14:textId="77777777" w:rsidR="006608FA" w:rsidRPr="00406EBF" w:rsidRDefault="006608FA" w:rsidP="001878CC">
          <w:pPr>
            <w:pStyle w:val="Titre2"/>
            <w:tabs>
              <w:tab w:val="left" w:pos="709"/>
            </w:tabs>
            <w:spacing w:before="0" w:line="240" w:lineRule="auto"/>
            <w:jc w:val="both"/>
            <w:rPr>
              <w:rFonts w:asciiTheme="minorHAnsi" w:hAnsiTheme="minorHAnsi" w:cstheme="minorHAnsi"/>
              <w:b w:val="0"/>
              <w:color w:val="auto"/>
              <w:sz w:val="23"/>
              <w:szCs w:val="23"/>
            </w:rPr>
          </w:pPr>
        </w:p>
        <w:p w14:paraId="3141AB9E" w14:textId="77777777" w:rsidR="006608FA" w:rsidRPr="00406EBF" w:rsidRDefault="006608FA"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76" w:name="_Toc2777400"/>
          <w:bookmarkStart w:id="77" w:name="_Toc21339573"/>
          <w:r w:rsidRPr="00406EBF">
            <w:rPr>
              <w:rFonts w:asciiTheme="minorHAnsi" w:hAnsiTheme="minorHAnsi" w:cstheme="minorHAnsi"/>
              <w:b w:val="0"/>
              <w:i/>
              <w:color w:val="auto"/>
              <w:sz w:val="23"/>
              <w:szCs w:val="23"/>
            </w:rPr>
            <w:t>Exigences de déclaration</w:t>
          </w:r>
          <w:bookmarkEnd w:id="76"/>
          <w:bookmarkEnd w:id="77"/>
          <w:r w:rsidRPr="00406EBF">
            <w:rPr>
              <w:rFonts w:asciiTheme="minorHAnsi" w:hAnsiTheme="minorHAnsi" w:cstheme="minorHAnsi"/>
              <w:b w:val="0"/>
              <w:i/>
              <w:color w:val="auto"/>
              <w:sz w:val="23"/>
              <w:szCs w:val="23"/>
            </w:rPr>
            <w:t xml:space="preserve"> </w:t>
          </w:r>
        </w:p>
        <w:p w14:paraId="3F619D3F" w14:textId="77777777" w:rsidR="006608FA" w:rsidRPr="00406EBF" w:rsidRDefault="006608FA" w:rsidP="001878CC">
          <w:pPr>
            <w:keepNext/>
            <w:tabs>
              <w:tab w:val="left" w:pos="567"/>
              <w:tab w:val="left" w:pos="709"/>
            </w:tabs>
            <w:suppressAutoHyphens/>
            <w:spacing w:line="240" w:lineRule="auto"/>
            <w:jc w:val="both"/>
            <w:rPr>
              <w:rFonts w:cstheme="minorHAnsi"/>
              <w:sz w:val="23"/>
              <w:szCs w:val="23"/>
            </w:rPr>
          </w:pPr>
        </w:p>
        <w:p w14:paraId="1EDA535A" w14:textId="1266B362" w:rsidR="00014507" w:rsidRPr="00406EBF" w:rsidRDefault="00014507" w:rsidP="0001450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Depuis le 1er janvier 2005, toute une série de mandataires publics</w:t>
          </w:r>
          <w:r w:rsidR="008A4886" w:rsidRPr="00406EBF">
            <w:rPr>
              <w:rFonts w:cstheme="minorHAnsi"/>
              <w:sz w:val="23"/>
              <w:szCs w:val="23"/>
            </w:rPr>
            <w:t xml:space="preserve">, parmi lesquels les ministres, secrétaires d’Etat, chefs </w:t>
          </w:r>
          <w:r w:rsidR="007B5E8B">
            <w:rPr>
              <w:rFonts w:cstheme="minorHAnsi"/>
              <w:sz w:val="23"/>
              <w:szCs w:val="23"/>
            </w:rPr>
            <w:t>(</w:t>
          </w:r>
          <w:r w:rsidR="008A4886" w:rsidRPr="00406EBF">
            <w:rPr>
              <w:rFonts w:cstheme="minorHAnsi"/>
              <w:sz w:val="23"/>
              <w:szCs w:val="23"/>
            </w:rPr>
            <w:t>adjoints</w:t>
          </w:r>
          <w:r w:rsidR="007B5E8B">
            <w:rPr>
              <w:rFonts w:cstheme="minorHAnsi"/>
              <w:sz w:val="23"/>
              <w:szCs w:val="23"/>
            </w:rPr>
            <w:t>)</w:t>
          </w:r>
          <w:r w:rsidR="008A4886" w:rsidRPr="00406EBF">
            <w:rPr>
              <w:rFonts w:cstheme="minorHAnsi"/>
              <w:sz w:val="23"/>
              <w:szCs w:val="23"/>
            </w:rPr>
            <w:t xml:space="preserve"> des organes stratégiques </w:t>
          </w:r>
          <w:r w:rsidRPr="00406EBF">
            <w:rPr>
              <w:rFonts w:cstheme="minorHAnsi"/>
              <w:sz w:val="23"/>
              <w:szCs w:val="23"/>
            </w:rPr>
            <w:t>doivent déposer auprès du greffe de la Cour des comptes une liste de leurs mandats, fonctions et professions ainsi qu’une déclaration de patrimoine.</w:t>
          </w:r>
          <w:r w:rsidR="008A4886" w:rsidRPr="00406EBF">
            <w:rPr>
              <w:rFonts w:cstheme="minorHAnsi"/>
              <w:sz w:val="23"/>
              <w:szCs w:val="23"/>
            </w:rPr>
            <w:t xml:space="preserve"> A partir de l’année de déclaration 2019, cette obligation a été étendue aux collaborateurs du gouvernement fédéral chargés de rendre des avis sur la politique, la stratégie politique et la communication</w:t>
          </w:r>
          <w:r w:rsidR="00181CCD" w:rsidRPr="00406EBF">
            <w:rPr>
              <w:rFonts w:cstheme="minorHAnsi"/>
              <w:sz w:val="23"/>
              <w:szCs w:val="23"/>
            </w:rPr>
            <w:t xml:space="preserve"> – les « collaborateurs </w:t>
          </w:r>
          <w:r w:rsidR="003A0F50">
            <w:rPr>
              <w:rFonts w:cstheme="minorHAnsi"/>
              <w:sz w:val="23"/>
              <w:szCs w:val="23"/>
            </w:rPr>
            <w:t>de fond</w:t>
          </w:r>
          <w:r w:rsidR="003A0F50" w:rsidRPr="00406EBF">
            <w:rPr>
              <w:rFonts w:cstheme="minorHAnsi"/>
              <w:sz w:val="23"/>
              <w:szCs w:val="23"/>
            </w:rPr>
            <w:t> </w:t>
          </w:r>
          <w:r w:rsidR="007044C0" w:rsidRPr="00406EBF">
            <w:rPr>
              <w:rFonts w:cstheme="minorHAnsi"/>
              <w:sz w:val="23"/>
              <w:szCs w:val="23"/>
            </w:rPr>
            <w:t>»</w:t>
          </w:r>
          <w:r w:rsidR="00181CCD" w:rsidRPr="00406EBF">
            <w:rPr>
              <w:rFonts w:cstheme="minorHAnsi"/>
              <w:sz w:val="23"/>
              <w:szCs w:val="23"/>
            </w:rPr>
            <w:t xml:space="preserve"> - </w:t>
          </w:r>
          <w:r w:rsidR="008A4886" w:rsidRPr="00406EBF">
            <w:rPr>
              <w:rFonts w:cstheme="minorHAnsi"/>
              <w:sz w:val="23"/>
              <w:szCs w:val="23"/>
            </w:rPr>
            <w:t>ainsi qu’aux commissaires du gouvernement/représentants du gouvernement au sein du conseil d’administration de personnes morales.</w:t>
          </w:r>
        </w:p>
        <w:p w14:paraId="38BC78E4" w14:textId="77777777" w:rsidR="00014507" w:rsidRPr="00406EBF" w:rsidRDefault="00014507" w:rsidP="00014507">
          <w:pPr>
            <w:tabs>
              <w:tab w:val="left" w:pos="709"/>
            </w:tabs>
            <w:spacing w:line="240" w:lineRule="auto"/>
            <w:jc w:val="both"/>
            <w:rPr>
              <w:rFonts w:cstheme="minorHAnsi"/>
              <w:sz w:val="23"/>
              <w:szCs w:val="23"/>
            </w:rPr>
          </w:pPr>
        </w:p>
        <w:p w14:paraId="31768A76" w14:textId="77777777" w:rsidR="00014507" w:rsidRPr="00406EBF" w:rsidRDefault="00014507" w:rsidP="0001450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Cette matière est régie par deux lois ordinaires et deux lois spéciales. Les lois ordinaire et spéciale du 2 mai 1995 règlent l’obligation de dépôt ; les lois ordinaire et spéciale d’exécution du 26 juin 2004 ont précisé les détails de cette obligation et les tâches de la Cour des comptes. Les lois ordinaires sont applicables aux mandataires et fonctionnaires publics liés au niveau fédéral et à la Communauté germanophone alors que les lois spéciales visent les personnes liées aux autres entités régionales et communautaires. Cette modification vise à rendre le paysage politique plus transparent</w:t>
          </w:r>
          <w:r w:rsidRPr="00406EBF">
            <w:rPr>
              <w:rFonts w:cstheme="minorHAnsi"/>
              <w:sz w:val="23"/>
              <w:szCs w:val="23"/>
              <w:vertAlign w:val="superscript"/>
            </w:rPr>
            <w:footnoteReference w:id="32"/>
          </w:r>
          <w:r w:rsidRPr="00406EBF">
            <w:rPr>
              <w:rFonts w:cstheme="minorHAnsi"/>
              <w:sz w:val="23"/>
              <w:szCs w:val="23"/>
            </w:rPr>
            <w:t>.</w:t>
          </w:r>
          <w:r w:rsidRPr="00406EBF">
            <w:rPr>
              <w:rFonts w:cstheme="minorHAnsi"/>
              <w:sz w:val="23"/>
              <w:szCs w:val="23"/>
              <w:vertAlign w:val="superscript"/>
            </w:rPr>
            <w:t>.</w:t>
          </w:r>
        </w:p>
        <w:p w14:paraId="2BAA9D38" w14:textId="77777777" w:rsidR="00014507" w:rsidRPr="00406EBF" w:rsidRDefault="00014507" w:rsidP="00014507">
          <w:pPr>
            <w:pStyle w:val="Paragraphedeliste"/>
            <w:rPr>
              <w:rFonts w:cstheme="minorHAnsi"/>
              <w:sz w:val="23"/>
              <w:szCs w:val="23"/>
            </w:rPr>
          </w:pPr>
        </w:p>
        <w:p w14:paraId="4B5E4AB4" w14:textId="77777777" w:rsidR="00D4134F" w:rsidRPr="00406EBF" w:rsidRDefault="009541B6" w:rsidP="00D4134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Une</w:t>
          </w:r>
          <w:r w:rsidR="00D4134F" w:rsidRPr="00406EBF">
            <w:rPr>
              <w:rFonts w:cstheme="minorHAnsi"/>
              <w:sz w:val="23"/>
              <w:szCs w:val="23"/>
            </w:rPr>
            <w:t xml:space="preserve"> </w:t>
          </w:r>
          <w:r w:rsidR="00D4134F" w:rsidRPr="00406EBF">
            <w:rPr>
              <w:rFonts w:cstheme="minorHAnsi"/>
              <w:sz w:val="23"/>
              <w:szCs w:val="23"/>
              <w:u w:val="single"/>
            </w:rPr>
            <w:t>déclaration de patrimoine</w:t>
          </w:r>
          <w:r w:rsidR="00D4134F" w:rsidRPr="00406EBF">
            <w:rPr>
              <w:rFonts w:cstheme="minorHAnsi"/>
              <w:sz w:val="23"/>
              <w:szCs w:val="23"/>
            </w:rPr>
            <w:t xml:space="preserve"> doit être </w:t>
          </w:r>
          <w:r w:rsidR="008A4886" w:rsidRPr="00406EBF">
            <w:rPr>
              <w:rFonts w:cstheme="minorHAnsi"/>
              <w:sz w:val="23"/>
              <w:szCs w:val="23"/>
            </w:rPr>
            <w:t>soumise au 1</w:t>
          </w:r>
          <w:r w:rsidR="008A4886" w:rsidRPr="00406EBF">
            <w:rPr>
              <w:rFonts w:cstheme="minorHAnsi"/>
              <w:sz w:val="23"/>
              <w:szCs w:val="23"/>
              <w:vertAlign w:val="superscript"/>
            </w:rPr>
            <w:t>er</w:t>
          </w:r>
          <w:r w:rsidR="008A4886" w:rsidRPr="00406EBF">
            <w:rPr>
              <w:rFonts w:cstheme="minorHAnsi"/>
              <w:sz w:val="23"/>
              <w:szCs w:val="23"/>
            </w:rPr>
            <w:t xml:space="preserve"> octobre par tous les mandataires ayant entamé, renouvelé ou cessé</w:t>
          </w:r>
          <w:r w:rsidR="005A2387" w:rsidRPr="00406EBF">
            <w:rPr>
              <w:rFonts w:cstheme="minorHAnsi"/>
              <w:sz w:val="23"/>
              <w:szCs w:val="23"/>
            </w:rPr>
            <w:t xml:space="preserve"> au moins un mandat assujetti au cours de l’année précédente</w:t>
          </w:r>
          <w:r w:rsidR="00D4134F" w:rsidRPr="00406EBF">
            <w:rPr>
              <w:rFonts w:cstheme="minorHAnsi"/>
              <w:sz w:val="23"/>
              <w:szCs w:val="23"/>
            </w:rPr>
            <w:t xml:space="preserve"> Il n'y a pas de formulaire obligatoire</w:t>
          </w:r>
          <w:r w:rsidR="005A2387" w:rsidRPr="00406EBF">
            <w:rPr>
              <w:rFonts w:cstheme="minorHAnsi"/>
              <w:sz w:val="23"/>
              <w:szCs w:val="23"/>
            </w:rPr>
            <w:t xml:space="preserve"> </w:t>
          </w:r>
          <w:r w:rsidR="00D4134F" w:rsidRPr="00406EBF">
            <w:rPr>
              <w:rFonts w:cstheme="minorHAnsi"/>
              <w:sz w:val="23"/>
              <w:szCs w:val="23"/>
            </w:rPr>
            <w:t>à remplir</w:t>
          </w:r>
          <w:r w:rsidR="005A2387" w:rsidRPr="00406EBF">
            <w:rPr>
              <w:rFonts w:cstheme="minorHAnsi"/>
              <w:sz w:val="23"/>
              <w:szCs w:val="23"/>
            </w:rPr>
            <w:t>, mais l</w:t>
          </w:r>
          <w:r w:rsidR="00D4134F" w:rsidRPr="00406EBF">
            <w:rPr>
              <w:rFonts w:cstheme="minorHAnsi"/>
              <w:sz w:val="23"/>
              <w:szCs w:val="23"/>
            </w:rPr>
            <w:t>e vade-mecum destiné aux assujettis</w:t>
          </w:r>
          <w:r w:rsidR="00D4134F" w:rsidRPr="00406EBF">
            <w:rPr>
              <w:rStyle w:val="Appelnotedebasdep"/>
              <w:rFonts w:cstheme="minorHAnsi"/>
              <w:sz w:val="23"/>
              <w:szCs w:val="23"/>
            </w:rPr>
            <w:footnoteReference w:id="33"/>
          </w:r>
          <w:r w:rsidR="00D4134F" w:rsidRPr="00406EBF">
            <w:rPr>
              <w:rFonts w:cstheme="minorHAnsi"/>
              <w:sz w:val="23"/>
              <w:szCs w:val="23"/>
            </w:rPr>
            <w:t xml:space="preserve"> contient un modèle de formulaire dont il peut être fait usage. Conformément à la </w:t>
          </w:r>
          <w:r w:rsidRPr="00406EBF">
            <w:rPr>
              <w:rFonts w:cstheme="minorHAnsi"/>
              <w:sz w:val="23"/>
              <w:szCs w:val="23"/>
            </w:rPr>
            <w:t>loi, «</w:t>
          </w:r>
          <w:r w:rsidR="005A2387" w:rsidRPr="00406EBF">
            <w:rPr>
              <w:rFonts w:cstheme="minorHAnsi"/>
              <w:sz w:val="23"/>
              <w:szCs w:val="23"/>
            </w:rPr>
            <w:t> toutes les créances (telles que les comptes bancaires, les actions et les obligations), tous les immeubles ainsi que tous les biens meubles de valeur (tels que les antiquités et œuvres d’art</w:t>
          </w:r>
          <w:r w:rsidR="00C44501" w:rsidRPr="00406EBF">
            <w:rPr>
              <w:rFonts w:cstheme="minorHAnsi"/>
              <w:sz w:val="23"/>
              <w:szCs w:val="23"/>
            </w:rPr>
            <w:t xml:space="preserve">) » </w:t>
          </w:r>
          <w:r w:rsidR="00C1779E" w:rsidRPr="00406EBF">
            <w:rPr>
              <w:rFonts w:cstheme="minorHAnsi"/>
              <w:sz w:val="23"/>
              <w:szCs w:val="23"/>
            </w:rPr>
            <w:t xml:space="preserve">au 31 décembre de l’année précédente </w:t>
          </w:r>
          <w:r w:rsidR="00C44501" w:rsidRPr="00406EBF">
            <w:rPr>
              <w:rFonts w:cstheme="minorHAnsi"/>
              <w:sz w:val="23"/>
              <w:szCs w:val="23"/>
            </w:rPr>
            <w:t>doivent être déclarés.</w:t>
          </w:r>
          <w:r w:rsidR="0078035E" w:rsidRPr="00406EBF">
            <w:rPr>
              <w:rFonts w:cstheme="minorHAnsi"/>
              <w:sz w:val="23"/>
              <w:szCs w:val="23"/>
            </w:rPr>
            <w:t xml:space="preserve"> Il est précisé que cela concerne aussi les biens détenus en copropriété, communauté ou indivision.</w:t>
          </w:r>
          <w:r w:rsidR="005A2387" w:rsidRPr="00406EBF">
            <w:rPr>
              <w:rFonts w:cstheme="minorHAnsi"/>
              <w:sz w:val="23"/>
              <w:szCs w:val="23"/>
            </w:rPr>
            <w:t xml:space="preserve"> La remise au greffe de la Cour des comptes </w:t>
          </w:r>
          <w:r w:rsidR="00C1779E" w:rsidRPr="00406EBF">
            <w:rPr>
              <w:rFonts w:cstheme="minorHAnsi"/>
              <w:sz w:val="23"/>
              <w:szCs w:val="23"/>
            </w:rPr>
            <w:t xml:space="preserve">se fait </w:t>
          </w:r>
          <w:r w:rsidR="005A2387" w:rsidRPr="00406EBF">
            <w:rPr>
              <w:rFonts w:cstheme="minorHAnsi"/>
              <w:sz w:val="23"/>
              <w:szCs w:val="23"/>
            </w:rPr>
            <w:t>au format papier, sous enveloppe fermée.</w:t>
          </w:r>
          <w:r w:rsidR="00C1779E" w:rsidRPr="00406EBF">
            <w:rPr>
              <w:rFonts w:cstheme="minorHAnsi"/>
              <w:sz w:val="23"/>
              <w:szCs w:val="23"/>
            </w:rPr>
            <w:t xml:space="preserve"> La déclaration de patrimoine n’est pas publique, seul un juge d’instruction est habilité à la consulter dans le cadre d’une instruction pénale menée à l’encontre de l’assujetti en raison de son mandat ou de sa fonction. </w:t>
          </w:r>
        </w:p>
        <w:p w14:paraId="7B64C1AA" w14:textId="77777777" w:rsidR="00014507" w:rsidRPr="00406EBF" w:rsidRDefault="00014507" w:rsidP="00D4134F">
          <w:pPr>
            <w:tabs>
              <w:tab w:val="left" w:pos="709"/>
            </w:tabs>
            <w:spacing w:line="240" w:lineRule="auto"/>
            <w:jc w:val="both"/>
            <w:rPr>
              <w:rFonts w:cstheme="minorHAnsi"/>
              <w:sz w:val="23"/>
              <w:szCs w:val="23"/>
            </w:rPr>
          </w:pPr>
        </w:p>
        <w:p w14:paraId="636694A3" w14:textId="77777777" w:rsidR="00612B1E" w:rsidRPr="00406EBF" w:rsidRDefault="00C1779E"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Comme noté par le Rapport d’Evaluation </w:t>
          </w:r>
          <w:r w:rsidR="009541B6" w:rsidRPr="00406EBF">
            <w:rPr>
              <w:rFonts w:cstheme="minorHAnsi"/>
              <w:sz w:val="23"/>
              <w:szCs w:val="23"/>
            </w:rPr>
            <w:t xml:space="preserve">du GRECO </w:t>
          </w:r>
          <w:r w:rsidRPr="00406EBF">
            <w:rPr>
              <w:rFonts w:cstheme="minorHAnsi"/>
              <w:sz w:val="23"/>
              <w:szCs w:val="23"/>
            </w:rPr>
            <w:t>du 4</w:t>
          </w:r>
          <w:r w:rsidRPr="00406EBF">
            <w:rPr>
              <w:rFonts w:cstheme="minorHAnsi"/>
              <w:sz w:val="23"/>
              <w:szCs w:val="23"/>
              <w:vertAlign w:val="superscript"/>
            </w:rPr>
            <w:t>e</w:t>
          </w:r>
          <w:r w:rsidRPr="00406EBF">
            <w:rPr>
              <w:rFonts w:cstheme="minorHAnsi"/>
              <w:sz w:val="23"/>
              <w:szCs w:val="23"/>
            </w:rPr>
            <w:t xml:space="preserve"> cycle, « il n’est pas prévu d’obligation d’actualisation des déclarations de patrimoine, même en cas de variation importante de celui-ci qui découlerait par exemple d’un changement de statut matrimonial ; les autorités belges indiquent que ceci est confirmé par les travaux préparatoires. Le dispositif ne couvre pas non plus a) le montant des revenus et indemnités tirés des activités ou d’autres sources, par exemple les revenus du patrimoine ou d’investissements en affaires etc.); b) les activités rémunérées ponctuellement telles que les consultations ; d) les contrats commerciaux avec les autorités de l’Etat ; d) les offres d’activités. »</w:t>
          </w:r>
        </w:p>
        <w:p w14:paraId="7161110C" w14:textId="77777777" w:rsidR="004B7BCA" w:rsidRPr="00406EBF" w:rsidRDefault="004B7BCA" w:rsidP="004B7BCA">
          <w:pPr>
            <w:pStyle w:val="Paragraphedeliste"/>
            <w:rPr>
              <w:rFonts w:cstheme="minorHAnsi"/>
              <w:sz w:val="23"/>
              <w:szCs w:val="23"/>
            </w:rPr>
          </w:pPr>
        </w:p>
        <w:p w14:paraId="33D7DF6A" w14:textId="77777777" w:rsidR="004B7BCA" w:rsidRPr="00406EBF" w:rsidRDefault="004B7BCA"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 xml:space="preserve">La </w:t>
          </w:r>
          <w:r w:rsidRPr="00406EBF">
            <w:rPr>
              <w:rFonts w:cstheme="minorHAnsi"/>
              <w:sz w:val="23"/>
              <w:szCs w:val="23"/>
              <w:u w:val="single"/>
            </w:rPr>
            <w:t>déclaration de mandats, fonctions et professions</w:t>
          </w:r>
          <w:r w:rsidRPr="00406EBF">
            <w:rPr>
              <w:rFonts w:cstheme="minorHAnsi"/>
              <w:sz w:val="23"/>
              <w:szCs w:val="23"/>
            </w:rPr>
            <w:t xml:space="preserve"> est déposée annuellement</w:t>
          </w:r>
          <w:r w:rsidR="0078035E" w:rsidRPr="00406EBF">
            <w:rPr>
              <w:rFonts w:cstheme="minorHAnsi"/>
              <w:sz w:val="23"/>
              <w:szCs w:val="23"/>
            </w:rPr>
            <w:t xml:space="preserve"> au 1</w:t>
          </w:r>
          <w:r w:rsidR="0078035E" w:rsidRPr="00406EBF">
            <w:rPr>
              <w:rFonts w:cstheme="minorHAnsi"/>
              <w:sz w:val="23"/>
              <w:szCs w:val="23"/>
              <w:vertAlign w:val="superscript"/>
            </w:rPr>
            <w:t>er</w:t>
          </w:r>
          <w:r w:rsidR="0078035E" w:rsidRPr="00406EBF">
            <w:rPr>
              <w:rFonts w:cstheme="minorHAnsi"/>
              <w:sz w:val="23"/>
              <w:szCs w:val="23"/>
            </w:rPr>
            <w:t xml:space="preserve"> octobre</w:t>
          </w:r>
          <w:r w:rsidRPr="00406EBF">
            <w:rPr>
              <w:rFonts w:cstheme="minorHAnsi"/>
              <w:sz w:val="23"/>
              <w:szCs w:val="23"/>
            </w:rPr>
            <w:t xml:space="preserve"> et depuis 2019 par voie électronique sur le site de la Cour des comptes.</w:t>
          </w:r>
          <w:r w:rsidR="0078035E" w:rsidRPr="00406EBF">
            <w:rPr>
              <w:rFonts w:cstheme="minorHAnsi"/>
              <w:sz w:val="23"/>
              <w:szCs w:val="23"/>
            </w:rPr>
            <w:t xml:space="preserve"> Elle couvre tous les mandats, fonctions ou professions exercés par les assujettis au cours de l’année précédente, qu’ils soient rémunérés ou non, qu’ils se situent dans le secteur public ou auprès d’autres personnes morales, associations ou institutions, établis en Belgique ou à l’étranger.</w:t>
          </w:r>
          <w:r w:rsidR="007C4D4B" w:rsidRPr="00406EBF">
            <w:rPr>
              <w:rFonts w:cstheme="minorHAnsi"/>
              <w:sz w:val="23"/>
              <w:szCs w:val="23"/>
            </w:rPr>
            <w:t xml:space="preserve"> </w:t>
          </w:r>
          <w:r w:rsidR="005D3098" w:rsidRPr="00406EBF">
            <w:rPr>
              <w:rFonts w:cstheme="minorHAnsi"/>
              <w:sz w:val="23"/>
              <w:szCs w:val="23"/>
            </w:rPr>
            <w:t>Depuis 2019 et suite à une recommandation donnée par le GRECO dans le cadre du 4</w:t>
          </w:r>
          <w:r w:rsidR="005D3098" w:rsidRPr="00406EBF">
            <w:rPr>
              <w:rFonts w:cstheme="minorHAnsi"/>
              <w:sz w:val="23"/>
              <w:szCs w:val="23"/>
              <w:vertAlign w:val="superscript"/>
            </w:rPr>
            <w:t>e</w:t>
          </w:r>
          <w:r w:rsidR="005D3098" w:rsidRPr="00406EBF">
            <w:rPr>
              <w:rFonts w:cstheme="minorHAnsi"/>
              <w:sz w:val="23"/>
              <w:szCs w:val="23"/>
            </w:rPr>
            <w:t xml:space="preserve"> cycle, les rémunérations perçues doivent être déclarées. </w:t>
          </w:r>
          <w:r w:rsidR="007C4D4B" w:rsidRPr="00406EBF">
            <w:rPr>
              <w:rFonts w:cstheme="minorHAnsi"/>
              <w:sz w:val="23"/>
              <w:szCs w:val="23"/>
            </w:rPr>
            <w:t xml:space="preserve">Une distinction est opérée entre les fonctions « assujettissables », pour lesquelles la rémunération </w:t>
          </w:r>
          <w:r w:rsidR="005D3098" w:rsidRPr="00406EBF">
            <w:rPr>
              <w:rFonts w:cstheme="minorHAnsi"/>
              <w:sz w:val="23"/>
              <w:szCs w:val="23"/>
            </w:rPr>
            <w:t xml:space="preserve">annuelle </w:t>
          </w:r>
          <w:r w:rsidR="007C4D4B" w:rsidRPr="00406EBF">
            <w:rPr>
              <w:rFonts w:cstheme="minorHAnsi"/>
              <w:sz w:val="23"/>
              <w:szCs w:val="23"/>
            </w:rPr>
            <w:t>brute doit être déclarée</w:t>
          </w:r>
          <w:r w:rsidR="005D3098" w:rsidRPr="00406EBF">
            <w:rPr>
              <w:rFonts w:cstheme="minorHAnsi"/>
              <w:sz w:val="23"/>
              <w:szCs w:val="23"/>
            </w:rPr>
            <w:t xml:space="preserve"> et les fonctions « non assujettissables », pour lesquelles il suffit d’indiquer un ordre de grandeur de la rémunération, dans des fourchettes fixées par la loi.</w:t>
          </w:r>
          <w:r w:rsidR="0048497F" w:rsidRPr="00406EBF">
            <w:rPr>
              <w:rFonts w:cstheme="minorHAnsi"/>
              <w:sz w:val="23"/>
              <w:szCs w:val="23"/>
            </w:rPr>
            <w:t xml:space="preserve"> En outre, les informations concernant les fonctions assujettissables sont remplies directement dans l’application électronique par des « informateurs » désignés au sein de chaque organisation, à charge pour les assujetttis de vérifier l’exactitude de ces informations. L’informateur désigné pour le gouvernement fédéral est le Secrétaire du Conseil des ministres. </w:t>
          </w:r>
        </w:p>
        <w:p w14:paraId="7BA2A844" w14:textId="77777777" w:rsidR="005D3098" w:rsidRPr="00406EBF" w:rsidRDefault="005D3098" w:rsidP="005D3098">
          <w:pPr>
            <w:pStyle w:val="Paragraphedeliste"/>
            <w:rPr>
              <w:rFonts w:cstheme="minorHAnsi"/>
              <w:sz w:val="23"/>
              <w:szCs w:val="23"/>
            </w:rPr>
          </w:pPr>
        </w:p>
        <w:p w14:paraId="2A1E32D7" w14:textId="133E9D01" w:rsidR="00181CCD" w:rsidRPr="00406EBF" w:rsidRDefault="00181CCD"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système de déclaration de mandats et de déclaration de patrimoine a déjà été évalué par le GRECO dans le cadre du quatrième cycle, car il s’applique aussi aux parlementaires. Les recommandations adressées dans ce cadre ont permis certaines améliorations du système, qui sont à saluer. C’est notamment le cas du montant des rémunérations perçues – même si les rémunérations privées ne sont déclarées que sous forme de fourchettes. Le cercle des PHFE soumises à des obligations de déclaration est également suffisant, du point de vue de l’EEG, depuis l’extension de janvier 2019 aux « collaborateurs </w:t>
          </w:r>
          <w:r w:rsidR="003A0F50">
            <w:rPr>
              <w:rFonts w:cstheme="minorHAnsi"/>
              <w:sz w:val="23"/>
              <w:szCs w:val="23"/>
            </w:rPr>
            <w:t>de fond</w:t>
          </w:r>
          <w:r w:rsidR="003A0F50" w:rsidRPr="00406EBF">
            <w:rPr>
              <w:rFonts w:cstheme="minorHAnsi"/>
              <w:sz w:val="23"/>
              <w:szCs w:val="23"/>
            </w:rPr>
            <w:t> </w:t>
          </w:r>
          <w:r w:rsidRPr="00406EBF">
            <w:rPr>
              <w:rFonts w:cstheme="minorHAnsi"/>
              <w:sz w:val="23"/>
              <w:szCs w:val="23"/>
            </w:rPr>
            <w:t>» des ministres.</w:t>
          </w:r>
        </w:p>
        <w:p w14:paraId="63911894" w14:textId="77777777" w:rsidR="00181CCD" w:rsidRPr="00406EBF" w:rsidRDefault="00181CCD" w:rsidP="00181CCD">
          <w:pPr>
            <w:pStyle w:val="Paragraphedeliste"/>
            <w:rPr>
              <w:rFonts w:cstheme="minorHAnsi"/>
              <w:sz w:val="23"/>
              <w:szCs w:val="23"/>
            </w:rPr>
          </w:pPr>
        </w:p>
        <w:p w14:paraId="5068C1A1" w14:textId="4F6B0BED" w:rsidR="00F521E6" w:rsidRPr="00406EBF" w:rsidRDefault="00181CCD"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 </w:t>
          </w:r>
          <w:r w:rsidR="00104363" w:rsidRPr="00406EBF">
            <w:rPr>
              <w:rFonts w:cstheme="minorHAnsi"/>
              <w:sz w:val="23"/>
              <w:szCs w:val="23"/>
            </w:rPr>
            <w:t>En revanche, les déclarations publiées et contrôlées ne donnent pas une vue complète des possibles conflits d’intérêts des déclarants et ne permettent pas non plus de détecter un éventuel enrichissement illicite.  Ces lacunes ont déjà été relevées</w:t>
          </w:r>
          <w:r w:rsidR="00BE2A81">
            <w:rPr>
              <w:rFonts w:cstheme="minorHAnsi"/>
              <w:sz w:val="23"/>
              <w:szCs w:val="23"/>
            </w:rPr>
            <w:t xml:space="preserve"> par le GRECO</w:t>
          </w:r>
          <w:r w:rsidR="00104363" w:rsidRPr="00406EBF">
            <w:rPr>
              <w:rFonts w:cstheme="minorHAnsi"/>
              <w:sz w:val="23"/>
              <w:szCs w:val="23"/>
            </w:rPr>
            <w:t xml:space="preserve"> dans le cadre du quatrième cyle, mais faute d’une mise en œuvre complète des recommandations correspondantes, elles restent d’actualité. Ainsi, les déclarations de patrimoine ne sont ni publiques, ni contrôlées. Elles sont déposées sous enveloppe scellée à la Cour des Comptes et ouvertes seulement à la demande d’un juge d’instruction en cas d’enquête pénale. </w:t>
          </w:r>
          <w:r w:rsidR="007044C0" w:rsidRPr="00406EBF">
            <w:rPr>
              <w:rFonts w:cstheme="minorHAnsi"/>
              <w:sz w:val="23"/>
              <w:szCs w:val="23"/>
            </w:rPr>
            <w:t xml:space="preserve">Par ailleurs, la notion de fonctions devrait couvrir les activités accessoires, spécialement pour les collaborateurs </w:t>
          </w:r>
          <w:r w:rsidR="003A0F50">
            <w:rPr>
              <w:rFonts w:cstheme="minorHAnsi"/>
              <w:sz w:val="23"/>
              <w:szCs w:val="23"/>
            </w:rPr>
            <w:t>de fond</w:t>
          </w:r>
          <w:r w:rsidR="003A0F50" w:rsidRPr="00406EBF">
            <w:rPr>
              <w:rFonts w:cstheme="minorHAnsi"/>
              <w:sz w:val="23"/>
              <w:szCs w:val="23"/>
            </w:rPr>
            <w:t xml:space="preserve"> </w:t>
          </w:r>
          <w:r w:rsidR="007044C0" w:rsidRPr="00406EBF">
            <w:rPr>
              <w:rFonts w:cstheme="minorHAnsi"/>
              <w:sz w:val="23"/>
              <w:szCs w:val="23"/>
            </w:rPr>
            <w:t xml:space="preserve">des organes stratégiques/cabinets ministériels dont la fonction est à temps partiel.  Les activités antérieures des ministres et de leurs collaborateurs </w:t>
          </w:r>
          <w:r w:rsidR="003A0F50">
            <w:rPr>
              <w:rFonts w:cstheme="minorHAnsi"/>
              <w:sz w:val="23"/>
              <w:szCs w:val="23"/>
            </w:rPr>
            <w:t>de fond</w:t>
          </w:r>
          <w:r w:rsidR="003A0F50" w:rsidRPr="00406EBF">
            <w:rPr>
              <w:rFonts w:cstheme="minorHAnsi"/>
              <w:sz w:val="23"/>
              <w:szCs w:val="23"/>
            </w:rPr>
            <w:t xml:space="preserve"> </w:t>
          </w:r>
          <w:r w:rsidR="007044C0" w:rsidRPr="00406EBF">
            <w:rPr>
              <w:rFonts w:cstheme="minorHAnsi"/>
              <w:sz w:val="23"/>
              <w:szCs w:val="23"/>
            </w:rPr>
            <w:t xml:space="preserve">devraient aussi être déclarées, car elles peuvent être sources de conflits d’intérêts. Enfin, des éléments du patrimoine du conjoint et des enfants à charge des PHFE peuvent également s’avérer pertinents pour cerner le patrimoine réel du déclarant et détecter un possible enrichissement illicite. </w:t>
          </w:r>
          <w:r w:rsidR="007044C0" w:rsidRPr="00406EBF">
            <w:rPr>
              <w:rFonts w:cstheme="minorHAnsi"/>
              <w:b/>
              <w:sz w:val="23"/>
              <w:szCs w:val="23"/>
            </w:rPr>
            <w:t xml:space="preserve">Le GRECO recommande </w:t>
          </w:r>
          <w:bookmarkStart w:id="78" w:name="_Hlk26528697"/>
          <w:r w:rsidR="007044C0" w:rsidRPr="00406EBF">
            <w:rPr>
              <w:rFonts w:cstheme="minorHAnsi"/>
              <w:b/>
              <w:sz w:val="23"/>
              <w:szCs w:val="23"/>
            </w:rPr>
            <w:t xml:space="preserve">(i) que le régime des déclarations publiées </w:t>
          </w:r>
          <w:r w:rsidR="00B57F77" w:rsidRPr="00406EBF">
            <w:rPr>
              <w:rFonts w:cstheme="minorHAnsi"/>
              <w:b/>
              <w:sz w:val="23"/>
              <w:szCs w:val="23"/>
            </w:rPr>
            <w:t>des personnes occupant de hautes fonctions de l’exécutif inclue également des informations pertinentes sur leur patrimoine, y compris des éléments du passif, ainsi que leurs activités antérieures et leurs activités accessoires ; (ii) d’envisager d’inclure également des informations sur les conjoints et les membres dépendants de la famille de ces personnes (étant entendu que ces informations n’auraient pas nécessairement vocation à être rendues publiques)</w:t>
          </w:r>
          <w:bookmarkEnd w:id="78"/>
          <w:r w:rsidR="00B57F77" w:rsidRPr="00406EBF">
            <w:rPr>
              <w:rFonts w:cstheme="minorHAnsi"/>
              <w:b/>
              <w:sz w:val="23"/>
              <w:szCs w:val="23"/>
            </w:rPr>
            <w:t xml:space="preserve">. </w:t>
          </w:r>
        </w:p>
        <w:p w14:paraId="5DD90B7D" w14:textId="77777777" w:rsidR="00B46B2A" w:rsidRPr="00406EBF" w:rsidRDefault="00B46B2A" w:rsidP="00B46B2A">
          <w:pPr>
            <w:pStyle w:val="Paragraphedeliste"/>
            <w:rPr>
              <w:rFonts w:cstheme="minorHAnsi"/>
              <w:sz w:val="23"/>
              <w:szCs w:val="23"/>
            </w:rPr>
          </w:pPr>
        </w:p>
        <w:p w14:paraId="6A9A979E" w14:textId="77777777" w:rsidR="006608FA" w:rsidRPr="00406EBF" w:rsidRDefault="006608FA"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79" w:name="_Toc2777401"/>
          <w:bookmarkStart w:id="80" w:name="_Toc21339574"/>
          <w:r w:rsidRPr="00406EBF">
            <w:rPr>
              <w:rFonts w:asciiTheme="minorHAnsi" w:hAnsiTheme="minorHAnsi" w:cstheme="minorHAnsi"/>
              <w:b w:val="0"/>
              <w:i/>
              <w:color w:val="auto"/>
              <w:sz w:val="23"/>
              <w:szCs w:val="23"/>
            </w:rPr>
            <w:t>Mécanismes de contrôle</w:t>
          </w:r>
          <w:bookmarkEnd w:id="79"/>
          <w:bookmarkEnd w:id="80"/>
        </w:p>
        <w:p w14:paraId="47B7871A" w14:textId="77777777" w:rsidR="006608FA" w:rsidRPr="00406EBF" w:rsidRDefault="006608FA" w:rsidP="001878CC">
          <w:pPr>
            <w:spacing w:line="240" w:lineRule="auto"/>
            <w:jc w:val="both"/>
            <w:rPr>
              <w:rFonts w:cstheme="minorHAnsi"/>
              <w:sz w:val="23"/>
              <w:szCs w:val="23"/>
            </w:rPr>
          </w:pPr>
        </w:p>
        <w:p w14:paraId="66C6D034" w14:textId="77777777" w:rsidR="00612B1E" w:rsidRPr="00406EBF" w:rsidRDefault="00457A18"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Cour des comptes est dépositaire de la liste des mandats, fonctions et professions des </w:t>
          </w:r>
          <w:r w:rsidR="00565DB7" w:rsidRPr="00406EBF">
            <w:rPr>
              <w:rFonts w:cstheme="minorHAnsi"/>
              <w:sz w:val="23"/>
              <w:szCs w:val="23"/>
            </w:rPr>
            <w:t>PHFE</w:t>
          </w:r>
          <w:r w:rsidRPr="00406EBF">
            <w:rPr>
              <w:rFonts w:cstheme="minorHAnsi"/>
              <w:sz w:val="23"/>
              <w:szCs w:val="23"/>
            </w:rPr>
            <w:t>, ainsi que de leurs déclarations de patrimoine. Elle est chargée d</w:t>
          </w:r>
          <w:r w:rsidR="00565DB7" w:rsidRPr="00406EBF">
            <w:rPr>
              <w:rFonts w:cstheme="minorHAnsi"/>
              <w:sz w:val="23"/>
              <w:szCs w:val="23"/>
            </w:rPr>
            <w:t xml:space="preserve">e leur </w:t>
          </w:r>
          <w:r w:rsidRPr="00406EBF">
            <w:rPr>
              <w:rFonts w:cstheme="minorHAnsi"/>
              <w:sz w:val="23"/>
              <w:szCs w:val="23"/>
            </w:rPr>
            <w:t>contrôle, d</w:t>
          </w:r>
          <w:r w:rsidR="00565DB7" w:rsidRPr="00406EBF">
            <w:rPr>
              <w:rFonts w:cstheme="minorHAnsi"/>
              <w:sz w:val="23"/>
              <w:szCs w:val="23"/>
            </w:rPr>
            <w:t xml:space="preserve">e leur </w:t>
          </w:r>
          <w:r w:rsidRPr="00406EBF">
            <w:rPr>
              <w:rFonts w:cstheme="minorHAnsi"/>
              <w:sz w:val="23"/>
              <w:szCs w:val="23"/>
            </w:rPr>
            <w:t xml:space="preserve">archivage et de </w:t>
          </w:r>
          <w:r w:rsidR="00565DB7" w:rsidRPr="00406EBF">
            <w:rPr>
              <w:rFonts w:cstheme="minorHAnsi"/>
              <w:sz w:val="23"/>
              <w:szCs w:val="23"/>
            </w:rPr>
            <w:t xml:space="preserve">leur </w:t>
          </w:r>
          <w:r w:rsidRPr="00406EBF">
            <w:rPr>
              <w:rFonts w:cstheme="minorHAnsi"/>
              <w:sz w:val="23"/>
              <w:szCs w:val="23"/>
            </w:rPr>
            <w:t xml:space="preserve">publication. </w:t>
          </w:r>
        </w:p>
        <w:p w14:paraId="742E39F9" w14:textId="77777777" w:rsidR="00C1779E" w:rsidRPr="00406EBF" w:rsidRDefault="00C1779E" w:rsidP="00C1779E">
          <w:pPr>
            <w:tabs>
              <w:tab w:val="left" w:pos="709"/>
            </w:tabs>
            <w:spacing w:line="240" w:lineRule="auto"/>
            <w:jc w:val="both"/>
            <w:rPr>
              <w:rFonts w:cstheme="minorHAnsi"/>
              <w:sz w:val="23"/>
              <w:szCs w:val="23"/>
            </w:rPr>
          </w:pPr>
        </w:p>
        <w:p w14:paraId="2C72F28E" w14:textId="77777777" w:rsidR="00C1779E" w:rsidRPr="00406EBF" w:rsidRDefault="00C1779E"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Elle n’est pas habilitée à consulter les </w:t>
          </w:r>
          <w:r w:rsidRPr="00406EBF">
            <w:rPr>
              <w:rFonts w:cstheme="minorHAnsi"/>
              <w:sz w:val="23"/>
              <w:szCs w:val="23"/>
              <w:u w:val="single"/>
            </w:rPr>
            <w:t>déclarations de patrimoine</w:t>
          </w:r>
          <w:r w:rsidRPr="00406EBF">
            <w:rPr>
              <w:rFonts w:cstheme="minorHAnsi"/>
              <w:sz w:val="23"/>
              <w:szCs w:val="23"/>
            </w:rPr>
            <w:t xml:space="preserve"> et se borne à constater qu’elles ont été déposées dans les délais prévus par la loi.</w:t>
          </w:r>
        </w:p>
        <w:p w14:paraId="50CFF70B" w14:textId="77777777" w:rsidR="00AF267A" w:rsidRPr="00406EBF" w:rsidRDefault="00AF267A" w:rsidP="00AF267A">
          <w:pPr>
            <w:pStyle w:val="Paragraphedeliste"/>
            <w:rPr>
              <w:rFonts w:cstheme="minorHAnsi"/>
              <w:sz w:val="23"/>
              <w:szCs w:val="23"/>
            </w:rPr>
          </w:pPr>
        </w:p>
        <w:p w14:paraId="55454972" w14:textId="77777777" w:rsidR="00D5647F" w:rsidRPr="00406EBF" w:rsidRDefault="00D5647F" w:rsidP="00D5647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S’agissant des </w:t>
          </w:r>
          <w:r w:rsidRPr="00406EBF">
            <w:rPr>
              <w:rFonts w:cstheme="minorHAnsi"/>
              <w:sz w:val="23"/>
              <w:szCs w:val="23"/>
              <w:u w:val="single"/>
            </w:rPr>
            <w:t>listes de mandats, fonctions et professions</w:t>
          </w:r>
          <w:r w:rsidRPr="00406EBF">
            <w:rPr>
              <w:rFonts w:cstheme="minorHAnsi"/>
              <w:sz w:val="23"/>
              <w:szCs w:val="23"/>
            </w:rPr>
            <w:t xml:space="preserve">, la Cour des comptes vérifie si les déclarations – tant des informateurs que des assujettis – ont été transmises à temps et si toutes les informations obligatoires ont été encodées dans l’application électronique. Elle s’assure aussi que toutes les personnes soumises aux obligations de déclaration ont bien déposé une telle déclaration. La cellule du greffe des listes de mandats et déclarations du patrimoine de la Cour des comptes emploie douze personnes aux fins de ce contrôle. </w:t>
          </w:r>
        </w:p>
        <w:p w14:paraId="5E1F7C32" w14:textId="77777777" w:rsidR="00D5647F" w:rsidRPr="00406EBF" w:rsidRDefault="00D5647F" w:rsidP="00D5647F">
          <w:pPr>
            <w:pStyle w:val="Paragraphedeliste"/>
            <w:rPr>
              <w:rFonts w:cstheme="minorHAnsi"/>
              <w:sz w:val="23"/>
              <w:szCs w:val="23"/>
            </w:rPr>
          </w:pPr>
        </w:p>
        <w:p w14:paraId="78EC6593" w14:textId="77777777" w:rsidR="00AF267A" w:rsidRPr="00406EBF" w:rsidRDefault="00AF267A" w:rsidP="00AF267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liste des mandats, fonctions et professions est publiée par la Cour des comptes au Moniteur belge et sur son site internet, au plus tard le 15 février de l’année qui suit la déclaration. Elle publie en même temps la liste des mandataires en défaut. Ces listes ont été publiées pour l’année 2017 au Moniteur belge du 14 août 2018</w:t>
          </w:r>
          <w:r w:rsidRPr="00406EBF">
            <w:rPr>
              <w:rStyle w:val="Appelnotedebasdep"/>
              <w:rFonts w:cstheme="minorHAnsi"/>
              <w:sz w:val="23"/>
              <w:szCs w:val="23"/>
            </w:rPr>
            <w:footnoteReference w:id="34"/>
          </w:r>
          <w:r w:rsidRPr="00406EBF">
            <w:rPr>
              <w:rFonts w:cstheme="minorHAnsi"/>
              <w:sz w:val="23"/>
              <w:szCs w:val="23"/>
            </w:rPr>
            <w:t>.</w:t>
          </w:r>
          <w:r w:rsidR="006323D6" w:rsidRPr="00406EBF">
            <w:rPr>
              <w:rFonts w:cstheme="minorHAnsi"/>
              <w:sz w:val="23"/>
              <w:szCs w:val="23"/>
            </w:rPr>
            <w:t xml:space="preserve"> </w:t>
          </w:r>
        </w:p>
        <w:p w14:paraId="2001A952" w14:textId="77777777" w:rsidR="00A1741D" w:rsidRPr="00406EBF" w:rsidRDefault="00A1741D" w:rsidP="00A1741D">
          <w:pPr>
            <w:pStyle w:val="Paragraphedeliste"/>
            <w:rPr>
              <w:rFonts w:cstheme="minorHAnsi"/>
              <w:sz w:val="23"/>
              <w:szCs w:val="23"/>
            </w:rPr>
          </w:pPr>
        </w:p>
        <w:p w14:paraId="7AC97E6F" w14:textId="77777777" w:rsidR="002970E9" w:rsidRPr="00406EBF" w:rsidRDefault="002970E9"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informateurs et assujettis qui n’ont pas rempli leurs obligations sont passibles d’une amende administrative (compétence de la Cour des comptes) ou d’une sanction pénale. </w:t>
          </w:r>
        </w:p>
        <w:p w14:paraId="1F046BC0" w14:textId="77777777" w:rsidR="002970E9" w:rsidRPr="00406EBF" w:rsidRDefault="002970E9" w:rsidP="002970E9">
          <w:pPr>
            <w:pStyle w:val="Paragraphedeliste"/>
            <w:rPr>
              <w:rFonts w:cstheme="minorHAnsi"/>
              <w:sz w:val="23"/>
              <w:szCs w:val="23"/>
            </w:rPr>
          </w:pPr>
        </w:p>
        <w:p w14:paraId="07A66F4F" w14:textId="77777777" w:rsidR="002970E9" w:rsidRPr="00406EBF" w:rsidRDefault="002970E9" w:rsidP="00330EA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législation relative aux mandats prévoit une procédure contradictoire en vue de corriger les listes déposées (ainsi que celles qui ont déjà été publiées). Cette procédure débute au niveau de la Cour des comptes ; elle se poursuit devant la commission de suivi parlementaire compétente et peut nécessiter, le cas échant, de saisir le juge pénal. Une même infraction ne peut toutefois être doublement sanctionnée – administrativement et pénalement.</w:t>
          </w:r>
        </w:p>
        <w:p w14:paraId="1708D2EA" w14:textId="77777777" w:rsidR="006323D6" w:rsidRPr="00406EBF" w:rsidRDefault="006323D6" w:rsidP="006323D6">
          <w:pPr>
            <w:pStyle w:val="Paragraphedeliste"/>
            <w:rPr>
              <w:rFonts w:cstheme="minorHAnsi"/>
              <w:sz w:val="23"/>
              <w:szCs w:val="23"/>
            </w:rPr>
          </w:pPr>
        </w:p>
        <w:p w14:paraId="48900ABD" w14:textId="77777777" w:rsidR="006323D6" w:rsidRPr="00406EBF" w:rsidRDefault="006323D6" w:rsidP="00330EA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L’EEG souligne que le système de déclarations pêche également au niveau des délais de publication et du contrôle de la Cour des Comptes. Les délais de déclaration et de publication en vigueur depuis 2019 aboutissent en effet à une publication des mandats deux ans après leur exercice. Les mandats exercés en 2018 seront ainsi publiés en février 2020</w:t>
          </w:r>
          <w:r w:rsidR="00A06356" w:rsidRPr="00406EBF">
            <w:rPr>
              <w:rFonts w:cstheme="minorHAnsi"/>
              <w:sz w:val="23"/>
              <w:szCs w:val="23"/>
            </w:rPr>
            <w:t>. Ce délai tardif limite grandement l’intérêt des déclarations en matière de lutte contre les conflits d’intérêts.</w:t>
          </w:r>
        </w:p>
        <w:p w14:paraId="58F8C32F" w14:textId="77777777" w:rsidR="00A06356" w:rsidRPr="00406EBF" w:rsidRDefault="00A06356" w:rsidP="00A06356">
          <w:pPr>
            <w:pStyle w:val="Paragraphedeliste"/>
            <w:rPr>
              <w:rFonts w:cstheme="minorHAnsi"/>
              <w:sz w:val="23"/>
              <w:szCs w:val="23"/>
            </w:rPr>
          </w:pPr>
        </w:p>
        <w:p w14:paraId="5A64C9B3" w14:textId="77777777" w:rsidR="00A06356" w:rsidRPr="00406EBF" w:rsidRDefault="00A06356" w:rsidP="00330EA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autorités belges ont expliqué dans le cadre de la procédure de conformité du quatrième cycle que ce délai plus tardif instauré à partir de 2019 s’explique par la publication des rémunérations, pour lesquelles le montant annuel brut exact mentionné sur les fiches fiscales des employeurs doit être mentionné. </w:t>
          </w:r>
          <w:r w:rsidR="0086411F" w:rsidRPr="00406EBF">
            <w:rPr>
              <w:rFonts w:cstheme="minorHAnsi"/>
              <w:sz w:val="23"/>
              <w:szCs w:val="23"/>
            </w:rPr>
            <w:t xml:space="preserve">Or, ces fiches fiscales ne sont disponibles que le 30 juin de chaque année, date limite pour introduire les déclarations fiscales. L’EEG prend note de ces explications, mais appelle les autorités belges à trouver une solution permettant une publication </w:t>
          </w:r>
          <w:r w:rsidR="002C5245" w:rsidRPr="00406EBF">
            <w:rPr>
              <w:rFonts w:cstheme="minorHAnsi"/>
              <w:sz w:val="23"/>
              <w:szCs w:val="23"/>
            </w:rPr>
            <w:t xml:space="preserve">des déclarations en temps </w:t>
          </w:r>
          <w:r w:rsidR="0086411F" w:rsidRPr="00406EBF">
            <w:rPr>
              <w:rFonts w:cstheme="minorHAnsi"/>
              <w:sz w:val="23"/>
              <w:szCs w:val="23"/>
            </w:rPr>
            <w:t>plus opportun.</w:t>
          </w:r>
          <w:r w:rsidR="00CC599A" w:rsidRPr="00406EBF">
            <w:rPr>
              <w:rFonts w:cstheme="minorHAnsi"/>
              <w:sz w:val="23"/>
              <w:szCs w:val="23"/>
            </w:rPr>
            <w:t xml:space="preserve"> </w:t>
          </w:r>
        </w:p>
        <w:p w14:paraId="679AB9E2" w14:textId="77777777" w:rsidR="002C5245" w:rsidRPr="00406EBF" w:rsidRDefault="002C5245" w:rsidP="002C5245">
          <w:pPr>
            <w:pStyle w:val="Paragraphedeliste"/>
            <w:rPr>
              <w:rFonts w:cstheme="minorHAnsi"/>
              <w:sz w:val="23"/>
              <w:szCs w:val="23"/>
            </w:rPr>
          </w:pPr>
        </w:p>
        <w:p w14:paraId="35D9F57C" w14:textId="1E9BDD7E" w:rsidR="000A379D" w:rsidRPr="00406EBF" w:rsidRDefault="002C5245" w:rsidP="000A379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S’agissant du contrôle, la Cour des comptes ne vérifie que si les délais légaux sont respectés et si les déclarations sont complètes. Selon les interlocuteurs de l’EEG, elle n’a pas les moyens </w:t>
          </w:r>
          <w:r w:rsidR="003A0F50">
            <w:rPr>
              <w:rFonts w:cstheme="minorHAnsi"/>
              <w:sz w:val="23"/>
              <w:szCs w:val="23"/>
            </w:rPr>
            <w:t xml:space="preserve">juridiques et </w:t>
          </w:r>
          <w:r w:rsidRPr="00406EBF">
            <w:rPr>
              <w:rFonts w:cstheme="minorHAnsi"/>
              <w:sz w:val="23"/>
              <w:szCs w:val="23"/>
            </w:rPr>
            <w:t xml:space="preserve">techniques de contrôler l’exhaustivité des déclarations de mandats. Par exemple, la Cour des Comptes n’a pas accès au registre des sociétés ni au registre fiscal. Elle ne peut </w:t>
          </w:r>
          <w:r w:rsidR="00F96D0B" w:rsidRPr="00406EBF">
            <w:rPr>
              <w:rFonts w:cstheme="minorHAnsi"/>
              <w:sz w:val="23"/>
              <w:szCs w:val="23"/>
            </w:rPr>
            <w:t>donc</w:t>
          </w:r>
          <w:r w:rsidRPr="00406EBF">
            <w:rPr>
              <w:rFonts w:cstheme="minorHAnsi"/>
              <w:sz w:val="23"/>
              <w:szCs w:val="23"/>
            </w:rPr>
            <w:t xml:space="preserve"> pas contrôler la présence éventuelle d’une PHFE au conseil d’administration d’une entreprise privée.</w:t>
          </w:r>
          <w:r w:rsidR="000A379D" w:rsidRPr="00406EBF">
            <w:rPr>
              <w:rFonts w:cstheme="minorHAnsi"/>
              <w:sz w:val="23"/>
              <w:szCs w:val="23"/>
            </w:rPr>
            <w:t xml:space="preserve"> En outre, même lorsque des signalements de mandats incomplets sont faits auprès de la Cour des Comptes, celle-ci </w:t>
          </w:r>
          <w:r w:rsidR="003A0F50">
            <w:rPr>
              <w:rFonts w:cstheme="minorHAnsi"/>
              <w:sz w:val="23"/>
              <w:szCs w:val="23"/>
            </w:rPr>
            <w:t>n’a pas de pouvoir d’investigation propre</w:t>
          </w:r>
          <w:r w:rsidR="000A379D" w:rsidRPr="00406EBF">
            <w:rPr>
              <w:rFonts w:cstheme="minorHAnsi"/>
              <w:sz w:val="23"/>
              <w:szCs w:val="23"/>
            </w:rPr>
            <w:t xml:space="preserve">. </w:t>
          </w:r>
          <w:r w:rsidR="003A0F50">
            <w:rPr>
              <w:rFonts w:cstheme="minorHAnsi"/>
              <w:sz w:val="23"/>
              <w:szCs w:val="23"/>
            </w:rPr>
            <w:t>Selon les autorités, le dispositif repose sur la publicité des mandats et sur le pouvoir de contrôle des citoyens sur base de cette publicité</w:t>
          </w:r>
          <w:r w:rsidR="005E1763">
            <w:rPr>
              <w:rFonts w:cstheme="minorHAnsi"/>
              <w:sz w:val="23"/>
              <w:szCs w:val="23"/>
            </w:rPr>
            <w:t>. Ainsi, u</w:t>
          </w:r>
          <w:r w:rsidR="000A379D" w:rsidRPr="00406EBF">
            <w:rPr>
              <w:rFonts w:cstheme="minorHAnsi"/>
              <w:sz w:val="23"/>
              <w:szCs w:val="23"/>
            </w:rPr>
            <w:t>ne initative citoyenne</w:t>
          </w:r>
          <w:r w:rsidR="00F96D0B" w:rsidRPr="00406EBF">
            <w:rPr>
              <w:rStyle w:val="Appelnotedebasdep"/>
              <w:rFonts w:cstheme="minorHAnsi"/>
              <w:sz w:val="23"/>
              <w:szCs w:val="23"/>
            </w:rPr>
            <w:footnoteReference w:id="35"/>
          </w:r>
          <w:r w:rsidR="000A379D" w:rsidRPr="00406EBF">
            <w:rPr>
              <w:rFonts w:cstheme="minorHAnsi"/>
              <w:sz w:val="23"/>
              <w:szCs w:val="23"/>
            </w:rPr>
            <w:t xml:space="preserve"> a ainsi déjà recensé plus de 1100 mandats, fonctions et professions non déclarés par des mandataires entre 2004 et 2017 (au niveau fédéral et régional).</w:t>
          </w:r>
        </w:p>
        <w:p w14:paraId="05AB5C7C" w14:textId="77777777" w:rsidR="00F96D0B" w:rsidRPr="00406EBF" w:rsidRDefault="00F96D0B" w:rsidP="00F96D0B">
          <w:pPr>
            <w:pStyle w:val="Paragraphedeliste"/>
            <w:rPr>
              <w:rFonts w:cstheme="minorHAnsi"/>
              <w:sz w:val="23"/>
              <w:szCs w:val="23"/>
            </w:rPr>
          </w:pPr>
        </w:p>
        <w:p w14:paraId="1A07AAA2" w14:textId="080FDF48" w:rsidR="00330EAB" w:rsidRPr="00406EBF" w:rsidRDefault="00F96D0B" w:rsidP="00BE2A2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 xml:space="preserve">Même si les modifications législatives adoptées </w:t>
          </w:r>
          <w:r w:rsidR="00D81DB1" w:rsidRPr="00406EBF">
            <w:rPr>
              <w:rFonts w:cstheme="minorHAnsi"/>
              <w:sz w:val="23"/>
              <w:szCs w:val="23"/>
            </w:rPr>
            <w:t xml:space="preserve">à la </w:t>
          </w:r>
          <w:r w:rsidRPr="00406EBF">
            <w:rPr>
              <w:rFonts w:cstheme="minorHAnsi"/>
              <w:sz w:val="23"/>
              <w:szCs w:val="23"/>
            </w:rPr>
            <w:t xml:space="preserve">suite </w:t>
          </w:r>
          <w:r w:rsidR="00D81DB1" w:rsidRPr="00406EBF">
            <w:rPr>
              <w:rFonts w:cstheme="minorHAnsi"/>
              <w:sz w:val="23"/>
              <w:szCs w:val="23"/>
            </w:rPr>
            <w:t>des</w:t>
          </w:r>
          <w:r w:rsidRPr="00406EBF">
            <w:rPr>
              <w:rFonts w:cstheme="minorHAnsi"/>
              <w:sz w:val="23"/>
              <w:szCs w:val="23"/>
            </w:rPr>
            <w:t xml:space="preserve"> recommandations du quatrième cycle du GRECO ont déjà octroyé plus de responsabilités à la Cour des Comptes dans le contrôle des déclarations de mandats – notamment la possibilité d’infliger aux contrevenants des sanctions administratives – celle-ci semble toujours manquer de proactivité dans son contrôle. En outre, le système de déclaration et de contrôle tel qu’il est toujours conçu à l’heure actuelle, avec notamment l’incapacité de la Cour des Comptes d’avoir accès à l’ensemble des informations pertinentes, ne lui permet pas, en toute hypothèse, </w:t>
          </w:r>
          <w:r w:rsidR="00D81DB1" w:rsidRPr="00406EBF">
            <w:rPr>
              <w:rFonts w:cstheme="minorHAnsi"/>
              <w:sz w:val="23"/>
              <w:szCs w:val="23"/>
            </w:rPr>
            <w:t>d’exercer un contrôle substantiel. Outre un élargissement de l’objet de son contrôle (voir recommandation précédente), elle devrait avoir les pouvoirs et les ressources suffisants pour procéder à des vérifications prenant en compte les autres activités rémunérées des PHFE pour lesquelles il n’existe pas d’informateur institutionnel</w:t>
          </w:r>
          <w:r w:rsidR="003E0E61" w:rsidRPr="00406EBF">
            <w:rPr>
              <w:rFonts w:cstheme="minorHAnsi"/>
              <w:sz w:val="23"/>
              <w:szCs w:val="23"/>
            </w:rPr>
            <w:t xml:space="preserve">, </w:t>
          </w:r>
          <w:r w:rsidR="00D81DB1" w:rsidRPr="00406EBF">
            <w:rPr>
              <w:rFonts w:cstheme="minorHAnsi"/>
              <w:sz w:val="23"/>
              <w:szCs w:val="23"/>
            </w:rPr>
            <w:t xml:space="preserve">notamment l’ensemble des activités du secteur privé ou associatif. Par conséquent, </w:t>
          </w:r>
          <w:r w:rsidR="00D81DB1" w:rsidRPr="00406EBF">
            <w:rPr>
              <w:rFonts w:cstheme="minorHAnsi"/>
              <w:b/>
              <w:sz w:val="23"/>
              <w:szCs w:val="23"/>
            </w:rPr>
            <w:t xml:space="preserve">le GRECO recommande </w:t>
          </w:r>
          <w:bookmarkStart w:id="81" w:name="_Hlk26528719"/>
          <w:r w:rsidR="00D81DB1" w:rsidRPr="00406EBF">
            <w:rPr>
              <w:rFonts w:cstheme="minorHAnsi"/>
              <w:b/>
              <w:sz w:val="23"/>
              <w:szCs w:val="23"/>
            </w:rPr>
            <w:t xml:space="preserve">que les modalités de déclaration et de contrôle soient profondément remaniées afin d’assurer une publication </w:t>
          </w:r>
          <w:r w:rsidR="00836377">
            <w:rPr>
              <w:rFonts w:cstheme="minorHAnsi"/>
              <w:b/>
              <w:sz w:val="23"/>
              <w:szCs w:val="23"/>
            </w:rPr>
            <w:t xml:space="preserve">plus rapide, ainsi </w:t>
          </w:r>
          <w:r w:rsidR="00836377" w:rsidRPr="00406EBF">
            <w:rPr>
              <w:rFonts w:cstheme="minorHAnsi"/>
              <w:b/>
              <w:sz w:val="23"/>
              <w:szCs w:val="23"/>
            </w:rPr>
            <w:t>qu’un contrôle proactif et effectif</w:t>
          </w:r>
          <w:r w:rsidR="00836377">
            <w:rPr>
              <w:rFonts w:cstheme="minorHAnsi"/>
              <w:b/>
              <w:sz w:val="23"/>
              <w:szCs w:val="23"/>
            </w:rPr>
            <w:t>,</w:t>
          </w:r>
          <w:r w:rsidR="00836377" w:rsidRPr="00406EBF">
            <w:rPr>
              <w:rFonts w:cstheme="minorHAnsi"/>
              <w:b/>
              <w:sz w:val="23"/>
              <w:szCs w:val="23"/>
            </w:rPr>
            <w:t xml:space="preserve"> </w:t>
          </w:r>
          <w:r w:rsidR="00836377">
            <w:rPr>
              <w:rFonts w:cstheme="minorHAnsi"/>
              <w:b/>
              <w:sz w:val="23"/>
              <w:szCs w:val="23"/>
            </w:rPr>
            <w:t>de ce</w:t>
          </w:r>
          <w:r w:rsidR="00D81DB1" w:rsidRPr="00406EBF">
            <w:rPr>
              <w:rFonts w:cstheme="minorHAnsi"/>
              <w:b/>
              <w:sz w:val="23"/>
              <w:szCs w:val="23"/>
            </w:rPr>
            <w:t>s déclarations</w:t>
          </w:r>
          <w:bookmarkEnd w:id="81"/>
          <w:r w:rsidR="00D81DB1" w:rsidRPr="00406EBF">
            <w:rPr>
              <w:rFonts w:cstheme="minorHAnsi"/>
              <w:b/>
              <w:sz w:val="23"/>
              <w:szCs w:val="23"/>
            </w:rPr>
            <w:t xml:space="preserve">. </w:t>
          </w:r>
          <w:r w:rsidR="00D81DB1" w:rsidRPr="00406EBF">
            <w:rPr>
              <w:rFonts w:cstheme="minorHAnsi"/>
              <w:sz w:val="23"/>
              <w:szCs w:val="23"/>
            </w:rPr>
            <w:t>S’agissant de la publication sur internet, il serait utile de prévoir un lien vers la déclaration sur la notice biographique des ministres</w:t>
          </w:r>
          <w:r w:rsidR="006D751B" w:rsidRPr="00406EBF">
            <w:rPr>
              <w:rFonts w:cstheme="minorHAnsi"/>
              <w:sz w:val="23"/>
              <w:szCs w:val="23"/>
            </w:rPr>
            <w:t xml:space="preserve">, comme cela devrait se faire dès 2020 pour les parlementaires. </w:t>
          </w:r>
          <w:r w:rsidR="00D81DB1" w:rsidRPr="00406EBF">
            <w:rPr>
              <w:rFonts w:cstheme="minorHAnsi"/>
              <w:sz w:val="23"/>
              <w:szCs w:val="23"/>
            </w:rPr>
            <w:t xml:space="preserve"> </w:t>
          </w:r>
        </w:p>
        <w:p w14:paraId="3329DB6C" w14:textId="77777777" w:rsidR="00B46B2A" w:rsidRPr="00406EBF" w:rsidRDefault="00B46B2A" w:rsidP="00B46B2A">
          <w:pPr>
            <w:rPr>
              <w:sz w:val="21"/>
              <w:szCs w:val="21"/>
            </w:rPr>
          </w:pPr>
        </w:p>
        <w:p w14:paraId="67D39E84" w14:textId="77777777" w:rsidR="00612B1E" w:rsidRPr="00406EBF" w:rsidRDefault="00612B1E" w:rsidP="001878CC">
          <w:pPr>
            <w:pStyle w:val="Titre2"/>
            <w:tabs>
              <w:tab w:val="left" w:pos="709"/>
            </w:tabs>
            <w:spacing w:before="0" w:line="240" w:lineRule="auto"/>
            <w:jc w:val="both"/>
            <w:rPr>
              <w:rFonts w:asciiTheme="minorHAnsi" w:hAnsiTheme="minorHAnsi"/>
              <w:color w:val="auto"/>
              <w:sz w:val="23"/>
              <w:szCs w:val="23"/>
              <w:u w:val="single"/>
            </w:rPr>
          </w:pPr>
          <w:bookmarkStart w:id="82" w:name="_Toc2777402"/>
          <w:bookmarkStart w:id="83" w:name="_Toc21339575"/>
          <w:r w:rsidRPr="00406EBF">
            <w:rPr>
              <w:rFonts w:asciiTheme="minorHAnsi" w:hAnsiTheme="minorHAnsi"/>
              <w:color w:val="auto"/>
              <w:sz w:val="23"/>
              <w:szCs w:val="23"/>
              <w:u w:val="single"/>
            </w:rPr>
            <w:t>Mécanismes de contrôle et de mise en œuvre</w:t>
          </w:r>
          <w:bookmarkEnd w:id="82"/>
          <w:bookmarkEnd w:id="83"/>
        </w:p>
        <w:p w14:paraId="3C751774" w14:textId="77777777" w:rsidR="00612B1E" w:rsidRPr="00406EBF" w:rsidRDefault="00612B1E" w:rsidP="001878CC">
          <w:pPr>
            <w:keepNext/>
            <w:keepLines/>
            <w:tabs>
              <w:tab w:val="left" w:pos="567"/>
              <w:tab w:val="left" w:pos="709"/>
            </w:tabs>
            <w:suppressAutoHyphens/>
            <w:spacing w:line="240" w:lineRule="auto"/>
            <w:jc w:val="both"/>
            <w:rPr>
              <w:rFonts w:cstheme="minorHAnsi"/>
              <w:sz w:val="23"/>
              <w:szCs w:val="23"/>
            </w:rPr>
          </w:pPr>
        </w:p>
        <w:p w14:paraId="73118D63" w14:textId="77777777" w:rsidR="00612B1E" w:rsidRPr="00406EBF" w:rsidRDefault="00612B1E"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84" w:name="_Toc2777403"/>
          <w:bookmarkStart w:id="85" w:name="_Toc21339576"/>
          <w:r w:rsidRPr="00406EBF">
            <w:rPr>
              <w:rFonts w:asciiTheme="minorHAnsi" w:hAnsiTheme="minorHAnsi" w:cstheme="minorHAnsi"/>
              <w:b w:val="0"/>
              <w:i/>
              <w:color w:val="auto"/>
              <w:sz w:val="23"/>
              <w:szCs w:val="23"/>
            </w:rPr>
            <w:t>Poursuites pénales et immunité</w:t>
          </w:r>
          <w:bookmarkEnd w:id="84"/>
          <w:bookmarkEnd w:id="85"/>
        </w:p>
        <w:p w14:paraId="0369FD6A" w14:textId="77777777" w:rsidR="00612B1E" w:rsidRPr="00406EBF" w:rsidRDefault="00612B1E" w:rsidP="001878CC">
          <w:pPr>
            <w:keepNext/>
            <w:keepLines/>
            <w:tabs>
              <w:tab w:val="left" w:pos="567"/>
              <w:tab w:val="left" w:pos="709"/>
            </w:tabs>
            <w:suppressAutoHyphens/>
            <w:spacing w:line="240" w:lineRule="auto"/>
            <w:jc w:val="both"/>
            <w:rPr>
              <w:rFonts w:cstheme="minorHAnsi"/>
              <w:b/>
              <w:sz w:val="23"/>
              <w:szCs w:val="23"/>
              <w:u w:val="single"/>
            </w:rPr>
          </w:pPr>
        </w:p>
        <w:p w14:paraId="142B7519" w14:textId="77777777" w:rsidR="0011069E" w:rsidRPr="00406EBF" w:rsidRDefault="0011069E" w:rsidP="002D7F1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ministres du gouvernement fédéral disposent d’un privilège de juridiction (art. 103 de la Constitution et loi du 25 juin 1998 réglant la responsabilité pénale des ministres</w:t>
          </w:r>
          <w:r w:rsidR="002D7F1A" w:rsidRPr="00406EBF">
            <w:rPr>
              <w:rStyle w:val="Appelnotedebasdep"/>
              <w:rFonts w:cstheme="minorHAnsi"/>
              <w:sz w:val="23"/>
              <w:szCs w:val="23"/>
            </w:rPr>
            <w:footnoteReference w:id="36"/>
          </w:r>
          <w:r w:rsidRPr="00406EBF">
            <w:rPr>
              <w:rFonts w:cstheme="minorHAnsi"/>
              <w:sz w:val="23"/>
              <w:szCs w:val="23"/>
            </w:rPr>
            <w:t xml:space="preserve">) pour les infractions commises tant dans l’exercice de leurs fonctions que celles commises en dehors de celles-ci, pour lesquelles ils sont jugés pendant leur mandat ministériel.  Ils sont jugés par la </w:t>
          </w:r>
          <w:r w:rsidR="00BE2A81">
            <w:rPr>
              <w:rFonts w:cstheme="minorHAnsi"/>
              <w:sz w:val="23"/>
              <w:szCs w:val="23"/>
            </w:rPr>
            <w:t>C</w:t>
          </w:r>
          <w:r w:rsidRPr="00406EBF">
            <w:rPr>
              <w:rFonts w:cstheme="minorHAnsi"/>
              <w:sz w:val="23"/>
              <w:szCs w:val="23"/>
            </w:rPr>
            <w:t xml:space="preserve">our </w:t>
          </w:r>
          <w:r w:rsidR="002D7F1A" w:rsidRPr="00406EBF">
            <w:rPr>
              <w:rFonts w:cstheme="minorHAnsi"/>
              <w:sz w:val="23"/>
              <w:szCs w:val="23"/>
            </w:rPr>
            <w:t>d’appel de Bruxelles.</w:t>
          </w:r>
          <w:r w:rsidR="00A316F0" w:rsidRPr="00406EBF">
            <w:rPr>
              <w:rFonts w:cstheme="minorHAnsi"/>
              <w:sz w:val="23"/>
              <w:szCs w:val="23"/>
            </w:rPr>
            <w:t xml:space="preserve"> Les arrêts rendus par la cour sont uniquement susceptibles de pourvoi devant la Cour de cassation, chambres réunies.</w:t>
          </w:r>
        </w:p>
        <w:p w14:paraId="6237EC4A" w14:textId="77777777" w:rsidR="002D7F1A" w:rsidRPr="00406EBF" w:rsidRDefault="002D7F1A" w:rsidP="002D7F1A">
          <w:pPr>
            <w:tabs>
              <w:tab w:val="left" w:pos="709"/>
            </w:tabs>
            <w:spacing w:line="240" w:lineRule="auto"/>
            <w:jc w:val="both"/>
            <w:rPr>
              <w:rFonts w:cstheme="minorHAnsi"/>
              <w:sz w:val="23"/>
              <w:szCs w:val="23"/>
            </w:rPr>
          </w:pPr>
        </w:p>
        <w:p w14:paraId="1670B32B" w14:textId="77777777" w:rsidR="002D7F1A" w:rsidRPr="00406EBF" w:rsidRDefault="002D7F1A" w:rsidP="002D7F1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Il en découle que les poursuites à l’encontre d’un ministre peuvent être uniquement </w:t>
          </w:r>
          <w:r w:rsidR="000D695D" w:rsidRPr="00406EBF">
            <w:rPr>
              <w:rFonts w:cstheme="minorHAnsi"/>
              <w:sz w:val="23"/>
              <w:szCs w:val="23"/>
            </w:rPr>
            <w:t xml:space="preserve">intentées par le procureur général près la Cour d’appel de Bruxelles. C’est lui qui exerce </w:t>
          </w:r>
          <w:r w:rsidR="00BE2A21" w:rsidRPr="00406EBF">
            <w:rPr>
              <w:rFonts w:cstheme="minorHAnsi"/>
              <w:sz w:val="23"/>
              <w:szCs w:val="23"/>
            </w:rPr>
            <w:t xml:space="preserve">à l’égard des ministres </w:t>
          </w:r>
          <w:r w:rsidR="000D695D" w:rsidRPr="00406EBF">
            <w:rPr>
              <w:rFonts w:cstheme="minorHAnsi"/>
              <w:sz w:val="23"/>
              <w:szCs w:val="23"/>
            </w:rPr>
            <w:t xml:space="preserve">les attributions normalement détenues par le procureur du Roi en vertu du Code d’instruction criminelle. De même, les missions du juge d’instruction relèvent, dans cette procédure, d’un conseiller à la </w:t>
          </w:r>
          <w:r w:rsidR="00BE2A81">
            <w:rPr>
              <w:rFonts w:cstheme="minorHAnsi"/>
              <w:sz w:val="23"/>
              <w:szCs w:val="23"/>
            </w:rPr>
            <w:t>C</w:t>
          </w:r>
          <w:r w:rsidR="000D695D" w:rsidRPr="00406EBF">
            <w:rPr>
              <w:rFonts w:cstheme="minorHAnsi"/>
              <w:sz w:val="23"/>
              <w:szCs w:val="23"/>
            </w:rPr>
            <w:t xml:space="preserve">our d’appel. Il en résulte que lorsque dans une affaire, le procureur du Roi constate l’existence d’indices d’infraction à charge d’un </w:t>
          </w:r>
          <w:r w:rsidR="00BE2A21" w:rsidRPr="00406EBF">
            <w:rPr>
              <w:rFonts w:cstheme="minorHAnsi"/>
              <w:sz w:val="23"/>
              <w:szCs w:val="23"/>
            </w:rPr>
            <w:t>ministre</w:t>
          </w:r>
          <w:r w:rsidR="000D695D" w:rsidRPr="00406EBF">
            <w:rPr>
              <w:rFonts w:cstheme="minorHAnsi"/>
              <w:sz w:val="23"/>
              <w:szCs w:val="23"/>
            </w:rPr>
            <w:t>, il doit immédiatement transmettre le dossier au parquet général.</w:t>
          </w:r>
        </w:p>
        <w:p w14:paraId="7C963BC1" w14:textId="77777777" w:rsidR="002B609A" w:rsidRPr="00406EBF" w:rsidRDefault="002B609A" w:rsidP="002B609A">
          <w:pPr>
            <w:pStyle w:val="Paragraphedeliste"/>
            <w:rPr>
              <w:rFonts w:cstheme="minorHAnsi"/>
              <w:sz w:val="23"/>
              <w:szCs w:val="23"/>
            </w:rPr>
          </w:pPr>
        </w:p>
        <w:p w14:paraId="2A7F51BA" w14:textId="77777777" w:rsidR="002B609A" w:rsidRPr="00406EBF" w:rsidRDefault="002B609A" w:rsidP="002D7F1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Une autorisation de poursuite d</w:t>
          </w:r>
          <w:r w:rsidR="003E0E61" w:rsidRPr="00406EBF">
            <w:rPr>
              <w:rFonts w:cstheme="minorHAnsi"/>
              <w:sz w:val="23"/>
              <w:szCs w:val="23"/>
            </w:rPr>
            <w:t xml:space="preserve">u </w:t>
          </w:r>
          <w:r w:rsidRPr="00406EBF">
            <w:rPr>
              <w:rFonts w:cstheme="minorHAnsi"/>
              <w:sz w:val="23"/>
              <w:szCs w:val="23"/>
            </w:rPr>
            <w:t xml:space="preserve">parlement est prévue dans trois cas : la réquisition en vue de règlement de procédure, la citation directe devant la </w:t>
          </w:r>
          <w:r w:rsidR="00BE2A81">
            <w:rPr>
              <w:rFonts w:cstheme="minorHAnsi"/>
              <w:sz w:val="23"/>
              <w:szCs w:val="23"/>
            </w:rPr>
            <w:t>C</w:t>
          </w:r>
          <w:r w:rsidRPr="00406EBF">
            <w:rPr>
              <w:rFonts w:cstheme="minorHAnsi"/>
              <w:sz w:val="23"/>
              <w:szCs w:val="23"/>
            </w:rPr>
            <w:t>our d’appel et l’arrestation, hormis cas de flagrant délit.</w:t>
          </w:r>
        </w:p>
        <w:p w14:paraId="716F14B9" w14:textId="77777777" w:rsidR="002B609A" w:rsidRPr="00406EBF" w:rsidRDefault="002B609A" w:rsidP="002B609A">
          <w:pPr>
            <w:pStyle w:val="Paragraphedeliste"/>
            <w:rPr>
              <w:rFonts w:cstheme="minorHAnsi"/>
              <w:sz w:val="23"/>
              <w:szCs w:val="23"/>
            </w:rPr>
          </w:pPr>
        </w:p>
        <w:p w14:paraId="4D7AFA56" w14:textId="77777777" w:rsidR="002B609A" w:rsidRPr="00406EBF" w:rsidRDefault="002B609A" w:rsidP="002D7F1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actes d’instruction qui impliquent une contrainte requièrent l’intervention d’un collège de trois conseillers de la </w:t>
          </w:r>
          <w:r w:rsidR="00BE2A81">
            <w:rPr>
              <w:rFonts w:cstheme="minorHAnsi"/>
              <w:sz w:val="23"/>
              <w:szCs w:val="23"/>
            </w:rPr>
            <w:t>C</w:t>
          </w:r>
          <w:r w:rsidRPr="00406EBF">
            <w:rPr>
              <w:rFonts w:cstheme="minorHAnsi"/>
              <w:sz w:val="23"/>
              <w:szCs w:val="23"/>
            </w:rPr>
            <w:t xml:space="preserve">our d’appel parmi lesquels siège le conseiller instructeur. Il en est ainsi, sauf cas de crime flagrant ou de flagrant délit, pour les mandats d’amener, les perquisitions, les saisies, les repérages et les écoutes téléphoniques, les prélèvements d’ADN et les explorations corporelles. Le collège des trois conseillers statue à la majorité. </w:t>
          </w:r>
        </w:p>
        <w:p w14:paraId="01E29C46" w14:textId="77777777" w:rsidR="00A316F0" w:rsidRPr="00406EBF" w:rsidRDefault="00A316F0" w:rsidP="00A316F0">
          <w:pPr>
            <w:pStyle w:val="Paragraphedeliste"/>
            <w:rPr>
              <w:rFonts w:cstheme="minorHAnsi"/>
              <w:sz w:val="23"/>
              <w:szCs w:val="23"/>
            </w:rPr>
          </w:pPr>
        </w:p>
        <w:p w14:paraId="6D91D389" w14:textId="77777777" w:rsidR="00211A8E" w:rsidRPr="00406EBF" w:rsidRDefault="00A316F0" w:rsidP="00A316F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autres PHFE ne disposent quant à eux d’aucune immunité ou procédure pénale particulière</w:t>
          </w:r>
          <w:r w:rsidR="00211A8E" w:rsidRPr="00406EBF">
            <w:rPr>
              <w:rFonts w:cstheme="minorHAnsi"/>
              <w:sz w:val="23"/>
              <w:szCs w:val="23"/>
            </w:rPr>
            <w:t xml:space="preserve">, sauf dans le cas où ils sont co-auteurs ou complices d’une infraction commise par un </w:t>
          </w:r>
          <w:r w:rsidR="00211A8E" w:rsidRPr="00406EBF">
            <w:rPr>
              <w:rFonts w:cstheme="minorHAnsi"/>
              <w:sz w:val="23"/>
              <w:szCs w:val="23"/>
            </w:rPr>
            <w:lastRenderedPageBreak/>
            <w:t>ministre</w:t>
          </w:r>
          <w:r w:rsidRPr="00406EBF">
            <w:rPr>
              <w:rFonts w:cstheme="minorHAnsi"/>
              <w:sz w:val="23"/>
              <w:szCs w:val="23"/>
            </w:rPr>
            <w:t>.</w:t>
          </w:r>
          <w:r w:rsidR="00211A8E" w:rsidRPr="00406EBF">
            <w:rPr>
              <w:rFonts w:cstheme="minorHAnsi"/>
              <w:sz w:val="23"/>
              <w:szCs w:val="23"/>
            </w:rPr>
            <w:t xml:space="preserve"> L’article 29 de la loi réglant la responsabilité pénale des ministres prévoit en effet que les complices, co-auteurs et auteurs d’infractions connexes </w:t>
          </w:r>
          <w:r w:rsidR="003E0E61" w:rsidRPr="00406EBF">
            <w:rPr>
              <w:rFonts w:cstheme="minorHAnsi"/>
              <w:sz w:val="23"/>
              <w:szCs w:val="23"/>
            </w:rPr>
            <w:t>de</w:t>
          </w:r>
          <w:r w:rsidR="00211A8E" w:rsidRPr="00406EBF">
            <w:rPr>
              <w:rFonts w:cstheme="minorHAnsi"/>
              <w:sz w:val="23"/>
              <w:szCs w:val="23"/>
            </w:rPr>
            <w:t xml:space="preserve"> celles commises par un ministre sont poursuivis et jugés en même temps que le ministre.</w:t>
          </w:r>
          <w:r w:rsidRPr="00406EBF">
            <w:rPr>
              <w:rFonts w:cstheme="minorHAnsi"/>
              <w:sz w:val="23"/>
              <w:szCs w:val="23"/>
            </w:rPr>
            <w:t xml:space="preserve"> </w:t>
          </w:r>
          <w:r w:rsidR="003E0E61" w:rsidRPr="00406EBF">
            <w:rPr>
              <w:rFonts w:cstheme="minorHAnsi"/>
              <w:sz w:val="23"/>
              <w:szCs w:val="23"/>
            </w:rPr>
            <w:t>L’EEG n’a pas eu connaissance de cas dans lesquels la responsabilité pénale des ministres a été engagée.</w:t>
          </w:r>
        </w:p>
        <w:p w14:paraId="0E6D3220" w14:textId="77777777" w:rsidR="00211A8E" w:rsidRPr="00406EBF" w:rsidRDefault="00211A8E" w:rsidP="00211A8E">
          <w:pPr>
            <w:pStyle w:val="Paragraphedeliste"/>
            <w:rPr>
              <w:rFonts w:cstheme="minorHAnsi"/>
              <w:sz w:val="23"/>
              <w:szCs w:val="23"/>
            </w:rPr>
          </w:pPr>
        </w:p>
        <w:p w14:paraId="0E28A9B4" w14:textId="4B516CB6" w:rsidR="00211A8E" w:rsidRPr="00406EBF" w:rsidRDefault="00C415A8" w:rsidP="00A316F0">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Il convient de rappeler que la Commission européenne pour la démocratie par le droit (Commission de Venise) appelle à faire preuve de la plus grande prudence et de retenue dans l’interprétation et l’application des procédures spéciales permettant d’engager la responsabilité pénale des membres du gouvernement. En particulier, conformément au principe d’égalité, les procédures spéciales devraient être réservées de préférence aux actes criminels commis dans l’exercice de fonctions officielles</w:t>
          </w:r>
          <w:r w:rsidR="00607020" w:rsidRPr="00E1651A">
            <w:rPr>
              <w:sz w:val="24"/>
              <w:szCs w:val="24"/>
              <w:vertAlign w:val="superscript"/>
            </w:rPr>
            <w:footnoteReference w:id="37"/>
          </w:r>
          <w:r>
            <w:rPr>
              <w:rFonts w:cstheme="minorHAnsi"/>
              <w:sz w:val="23"/>
              <w:szCs w:val="23"/>
            </w:rPr>
            <w:t>.</w:t>
          </w:r>
        </w:p>
        <w:p w14:paraId="49031B15" w14:textId="77777777" w:rsidR="00F91EBB" w:rsidRPr="00406EBF" w:rsidRDefault="00F91EBB" w:rsidP="00F91EBB">
          <w:pPr>
            <w:pStyle w:val="Paragraphedeliste"/>
            <w:rPr>
              <w:rFonts w:cstheme="minorHAnsi"/>
              <w:sz w:val="23"/>
              <w:szCs w:val="23"/>
            </w:rPr>
          </w:pPr>
        </w:p>
        <w:p w14:paraId="1732D36A" w14:textId="77777777" w:rsidR="002B609A" w:rsidRPr="00406EBF" w:rsidRDefault="003C00D8" w:rsidP="00A316F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L’article 29 du code d’instruction criminelle prévoit une obligation générale d’information du procureur pour tout fonctionnaire qui, dans l’exercice de ses fonctions, a connaissance d’un crime ou d’un délit. </w:t>
          </w:r>
        </w:p>
        <w:p w14:paraId="13E55ABC" w14:textId="77777777" w:rsidR="00372FB0" w:rsidRPr="00406EBF" w:rsidRDefault="00372FB0" w:rsidP="00372FB0">
          <w:pPr>
            <w:pStyle w:val="Paragraphedeliste"/>
            <w:rPr>
              <w:rFonts w:cstheme="minorHAnsi"/>
              <w:sz w:val="23"/>
              <w:szCs w:val="23"/>
            </w:rPr>
          </w:pPr>
        </w:p>
        <w:p w14:paraId="60D68DE0" w14:textId="77777777" w:rsidR="00612B1E" w:rsidRPr="00406EBF" w:rsidRDefault="00612B1E" w:rsidP="001878CC">
          <w:pPr>
            <w:pStyle w:val="Titre3"/>
            <w:tabs>
              <w:tab w:val="left" w:pos="709"/>
            </w:tabs>
            <w:spacing w:before="0" w:line="240" w:lineRule="auto"/>
            <w:rPr>
              <w:rFonts w:asciiTheme="minorHAnsi" w:hAnsiTheme="minorHAnsi" w:cstheme="minorHAnsi"/>
              <w:b w:val="0"/>
              <w:i/>
              <w:color w:val="auto"/>
              <w:sz w:val="23"/>
              <w:szCs w:val="23"/>
            </w:rPr>
          </w:pPr>
          <w:bookmarkStart w:id="86" w:name="_Toc2777404"/>
          <w:bookmarkStart w:id="87" w:name="_Toc21339577"/>
          <w:r w:rsidRPr="00406EBF">
            <w:rPr>
              <w:rFonts w:asciiTheme="minorHAnsi" w:hAnsiTheme="minorHAnsi" w:cstheme="minorHAnsi"/>
              <w:b w:val="0"/>
              <w:i/>
              <w:color w:val="auto"/>
              <w:sz w:val="23"/>
              <w:szCs w:val="23"/>
            </w:rPr>
            <w:t>Mécanismes non répressifs</w:t>
          </w:r>
          <w:bookmarkEnd w:id="86"/>
          <w:bookmarkEnd w:id="87"/>
        </w:p>
        <w:p w14:paraId="220DB154" w14:textId="77777777" w:rsidR="006608FA" w:rsidRPr="00406EBF" w:rsidRDefault="006608FA" w:rsidP="001878CC">
          <w:pPr>
            <w:spacing w:line="240" w:lineRule="auto"/>
            <w:jc w:val="both"/>
            <w:rPr>
              <w:rFonts w:cstheme="minorHAnsi"/>
              <w:sz w:val="23"/>
              <w:szCs w:val="23"/>
            </w:rPr>
          </w:pPr>
        </w:p>
        <w:p w14:paraId="0258AD06" w14:textId="61DCAC9D" w:rsidR="000D7FC9" w:rsidRPr="00406EBF" w:rsidRDefault="000D7FC9" w:rsidP="00667079">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loi du 15 septembre 2013</w:t>
          </w:r>
          <w:r w:rsidRPr="00406EBF">
            <w:rPr>
              <w:rStyle w:val="Appelnotedebasdep"/>
              <w:rFonts w:cstheme="minorHAnsi"/>
              <w:sz w:val="23"/>
              <w:szCs w:val="23"/>
            </w:rPr>
            <w:footnoteReference w:id="38"/>
          </w:r>
          <w:r w:rsidRPr="00406EBF">
            <w:rPr>
              <w:rFonts w:cstheme="minorHAnsi"/>
              <w:sz w:val="23"/>
              <w:szCs w:val="23"/>
            </w:rPr>
            <w:t xml:space="preserve"> a créé un </w:t>
          </w:r>
          <w:r w:rsidRPr="00406EBF">
            <w:rPr>
              <w:rFonts w:cstheme="minorHAnsi"/>
              <w:sz w:val="23"/>
              <w:szCs w:val="23"/>
              <w:u w:val="single"/>
            </w:rPr>
            <w:t>système de signalement d’atteintes supposées à l’intégrité</w:t>
          </w:r>
          <w:r w:rsidRPr="00406EBF">
            <w:rPr>
              <w:rFonts w:cstheme="minorHAnsi"/>
              <w:sz w:val="23"/>
              <w:szCs w:val="23"/>
            </w:rPr>
            <w:t xml:space="preserve"> au sein des autorités administratives fédérales. </w:t>
          </w:r>
          <w:r w:rsidR="00C4036E" w:rsidRPr="00406EBF">
            <w:rPr>
              <w:rFonts w:cstheme="minorHAnsi"/>
              <w:sz w:val="23"/>
              <w:szCs w:val="23"/>
            </w:rPr>
            <w:t>Cette loi a été modifiée le 8 mai 2019. L</w:t>
          </w:r>
          <w:r w:rsidRPr="00406EBF">
            <w:rPr>
              <w:rFonts w:cstheme="minorHAnsi"/>
              <w:sz w:val="23"/>
              <w:szCs w:val="23"/>
            </w:rPr>
            <w:t>e système de signalement est composé d’un canal interne, la personne de confiance intégrité (PCI) désignée au sein des différentes administrations fédérales</w:t>
          </w:r>
          <w:r w:rsidRPr="00406EBF">
            <w:rPr>
              <w:rStyle w:val="Appelnotedebasdep"/>
              <w:rFonts w:cstheme="minorHAnsi"/>
              <w:sz w:val="23"/>
              <w:szCs w:val="23"/>
            </w:rPr>
            <w:footnoteReference w:id="39"/>
          </w:r>
          <w:r w:rsidRPr="00406EBF">
            <w:rPr>
              <w:rFonts w:cstheme="minorHAnsi"/>
              <w:sz w:val="23"/>
              <w:szCs w:val="23"/>
            </w:rPr>
            <w:t xml:space="preserve"> et d’un canal externe, </w:t>
          </w:r>
          <w:r w:rsidRPr="00406EBF">
            <w:rPr>
              <w:rFonts w:cstheme="minorHAnsi"/>
              <w:sz w:val="23"/>
              <w:szCs w:val="23"/>
              <w:u w:val="single"/>
            </w:rPr>
            <w:t>le Centre Intégrité (CINT) du Médiateur fédéral</w:t>
          </w:r>
          <w:r w:rsidR="00DB3F55">
            <w:rPr>
              <w:rFonts w:cstheme="minorHAnsi"/>
              <w:sz w:val="23"/>
              <w:szCs w:val="23"/>
            </w:rPr>
            <w:t xml:space="preserve"> (ou l</w:t>
          </w:r>
          <w:r w:rsidR="00D01811">
            <w:rPr>
              <w:rFonts w:cstheme="minorHAnsi"/>
              <w:sz w:val="23"/>
              <w:szCs w:val="23"/>
            </w:rPr>
            <w:t>e Comité permanent de contrôle des services de police pour le</w:t>
          </w:r>
          <w:r w:rsidR="00A27A70">
            <w:rPr>
              <w:rFonts w:cstheme="minorHAnsi"/>
              <w:sz w:val="23"/>
              <w:szCs w:val="23"/>
            </w:rPr>
            <w:t xml:space="preserve"> personnel</w:t>
          </w:r>
          <w:r w:rsidR="00D01811">
            <w:rPr>
              <w:rFonts w:cstheme="minorHAnsi"/>
              <w:sz w:val="23"/>
              <w:szCs w:val="23"/>
            </w:rPr>
            <w:t xml:space="preserve"> de la police fédérale et intégrée</w:t>
          </w:r>
          <w:r w:rsidR="00156E98">
            <w:rPr>
              <w:rFonts w:cstheme="minorHAnsi"/>
              <w:sz w:val="23"/>
              <w:szCs w:val="23"/>
            </w:rPr>
            <w:t>, voir ci-dessous</w:t>
          </w:r>
          <w:r w:rsidR="00D01811">
            <w:rPr>
              <w:rFonts w:cstheme="minorHAnsi"/>
              <w:sz w:val="23"/>
              <w:szCs w:val="23"/>
            </w:rPr>
            <w:t>)</w:t>
          </w:r>
          <w:r w:rsidRPr="00406EBF">
            <w:rPr>
              <w:rFonts w:cstheme="minorHAnsi"/>
              <w:sz w:val="23"/>
              <w:szCs w:val="23"/>
            </w:rPr>
            <w:t>.</w:t>
          </w:r>
          <w:r w:rsidR="009377FC" w:rsidRPr="00406EBF">
            <w:rPr>
              <w:rFonts w:cstheme="minorHAnsi"/>
              <w:sz w:val="23"/>
              <w:szCs w:val="23"/>
            </w:rPr>
            <w:t xml:space="preserve"> </w:t>
          </w:r>
          <w:r w:rsidR="00994156" w:rsidRPr="00406EBF">
            <w:rPr>
              <w:rFonts w:cstheme="minorHAnsi"/>
              <w:sz w:val="23"/>
              <w:szCs w:val="23"/>
            </w:rPr>
            <w:t>Le CINT, qui a été créé par la loi de 2013, compte quatre auditeurs forensic (deux francophones et deux néerlandophones).</w:t>
          </w:r>
          <w:r w:rsidR="00667079" w:rsidRPr="00406EBF">
            <w:rPr>
              <w:rFonts w:cstheme="minorHAnsi"/>
              <w:sz w:val="23"/>
              <w:szCs w:val="23"/>
            </w:rPr>
            <w:t xml:space="preserve"> Début 2016, le Médiateur et la majorité des administrations fédérales concernées ont signé un protocole d’accord définissant les modalités de la coopération entre le Médiateur fédéral, les personnes de confiance d’intégrité et le fonctionnaire dirigeant. </w:t>
          </w:r>
        </w:p>
        <w:p w14:paraId="1EF279ED" w14:textId="77777777" w:rsidR="000D7FC9" w:rsidRPr="00406EBF" w:rsidRDefault="000D7FC9" w:rsidP="000D7FC9">
          <w:pPr>
            <w:tabs>
              <w:tab w:val="left" w:pos="709"/>
            </w:tabs>
            <w:spacing w:line="240" w:lineRule="auto"/>
            <w:jc w:val="both"/>
            <w:rPr>
              <w:rFonts w:cstheme="minorHAnsi"/>
              <w:sz w:val="23"/>
              <w:szCs w:val="23"/>
            </w:rPr>
          </w:pPr>
        </w:p>
        <w:p w14:paraId="573C3C29" w14:textId="77777777" w:rsidR="000D7FC9" w:rsidRPr="00406EBF" w:rsidRDefault="009377FC" w:rsidP="00E01F4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définition d’une atteinte supposée à l’intégrité est très large. Elle vise :</w:t>
          </w:r>
        </w:p>
        <w:p w14:paraId="3CDCD12E" w14:textId="77777777" w:rsidR="009377FC" w:rsidRPr="00406EBF" w:rsidRDefault="009377FC" w:rsidP="009377FC">
          <w:pPr>
            <w:pStyle w:val="Paragraphedeliste"/>
            <w:rPr>
              <w:rFonts w:cstheme="minorHAnsi"/>
              <w:sz w:val="23"/>
              <w:szCs w:val="23"/>
            </w:rPr>
          </w:pPr>
        </w:p>
        <w:p w14:paraId="7E5194D8" w14:textId="77777777" w:rsidR="009377FC" w:rsidRPr="00406EBF" w:rsidRDefault="009377FC" w:rsidP="009377FC">
          <w:pPr>
            <w:pStyle w:val="Paragraphedeliste"/>
            <w:numPr>
              <w:ilvl w:val="0"/>
              <w:numId w:val="15"/>
            </w:numPr>
            <w:spacing w:line="252" w:lineRule="auto"/>
            <w:jc w:val="both"/>
            <w:rPr>
              <w:rFonts w:cstheme="minorHAnsi"/>
              <w:sz w:val="23"/>
              <w:szCs w:val="23"/>
            </w:rPr>
          </w:pPr>
          <w:r w:rsidRPr="00406EBF">
            <w:rPr>
              <w:rFonts w:cstheme="minorHAnsi"/>
              <w:sz w:val="23"/>
              <w:szCs w:val="23"/>
            </w:rPr>
            <w:t>les infractions aux lois, arrêtés, circulaires, règles internes et procédures internes</w:t>
          </w:r>
          <w:r w:rsidR="00930B7B" w:rsidRPr="00406EBF">
            <w:rPr>
              <w:rFonts w:cstheme="minorHAnsi"/>
              <w:sz w:val="23"/>
              <w:szCs w:val="23"/>
            </w:rPr>
            <w:t xml:space="preserve"> portant atteinte à l’intérêt public</w:t>
          </w:r>
          <w:r w:rsidRPr="00406EBF">
            <w:rPr>
              <w:rFonts w:cstheme="minorHAnsi"/>
              <w:sz w:val="23"/>
              <w:szCs w:val="23"/>
            </w:rPr>
            <w:t>;</w:t>
          </w:r>
        </w:p>
        <w:p w14:paraId="1AC81915" w14:textId="77777777" w:rsidR="009377FC" w:rsidRPr="00406EBF" w:rsidRDefault="009377FC" w:rsidP="009377FC">
          <w:pPr>
            <w:pStyle w:val="Paragraphedeliste"/>
            <w:numPr>
              <w:ilvl w:val="0"/>
              <w:numId w:val="15"/>
            </w:numPr>
            <w:spacing w:line="252" w:lineRule="auto"/>
            <w:jc w:val="both"/>
            <w:rPr>
              <w:rFonts w:cstheme="minorHAnsi"/>
              <w:sz w:val="23"/>
              <w:szCs w:val="23"/>
            </w:rPr>
          </w:pPr>
          <w:r w:rsidRPr="00406EBF">
            <w:rPr>
              <w:rFonts w:cstheme="minorHAnsi"/>
              <w:sz w:val="23"/>
              <w:szCs w:val="23"/>
            </w:rPr>
            <w:t>les actes entraînant un risque inacceptable pour la vie, la santé ou la sécurité des personnes ou pour l’environnement;</w:t>
          </w:r>
        </w:p>
        <w:p w14:paraId="097702CA" w14:textId="77777777" w:rsidR="009377FC" w:rsidRPr="00406EBF" w:rsidRDefault="009377FC" w:rsidP="009377FC">
          <w:pPr>
            <w:pStyle w:val="Paragraphedeliste"/>
            <w:numPr>
              <w:ilvl w:val="0"/>
              <w:numId w:val="15"/>
            </w:numPr>
            <w:spacing w:line="252" w:lineRule="auto"/>
            <w:jc w:val="both"/>
            <w:rPr>
              <w:rFonts w:cstheme="minorHAnsi"/>
              <w:sz w:val="23"/>
              <w:szCs w:val="23"/>
            </w:rPr>
          </w:pPr>
          <w:r w:rsidRPr="00406EBF">
            <w:rPr>
              <w:rFonts w:cstheme="minorHAnsi"/>
              <w:sz w:val="23"/>
              <w:szCs w:val="23"/>
            </w:rPr>
            <w:t>les manquements graves aux obligations professionnelles ou à la bonne gestion d’une administration fédérale;</w:t>
          </w:r>
        </w:p>
        <w:p w14:paraId="35B2AFCA" w14:textId="77777777" w:rsidR="009377FC" w:rsidRPr="00406EBF" w:rsidRDefault="009377FC" w:rsidP="009377FC">
          <w:pPr>
            <w:pStyle w:val="Paragraphedeliste"/>
            <w:numPr>
              <w:ilvl w:val="0"/>
              <w:numId w:val="15"/>
            </w:numPr>
            <w:spacing w:line="252" w:lineRule="auto"/>
            <w:jc w:val="both"/>
            <w:rPr>
              <w:rFonts w:cstheme="minorHAnsi"/>
              <w:sz w:val="23"/>
              <w:szCs w:val="23"/>
            </w:rPr>
          </w:pPr>
          <w:r w:rsidRPr="00406EBF">
            <w:rPr>
              <w:rFonts w:cstheme="minorHAnsi"/>
              <w:sz w:val="23"/>
              <w:szCs w:val="23"/>
            </w:rPr>
            <w:t xml:space="preserve">le fait d’inciter un fonctionnaire à commettre de tels actes. </w:t>
          </w:r>
        </w:p>
        <w:p w14:paraId="230E98E6" w14:textId="77777777" w:rsidR="009377FC" w:rsidRPr="00406EBF" w:rsidRDefault="009377FC" w:rsidP="009377FC">
          <w:pPr>
            <w:spacing w:line="252" w:lineRule="auto"/>
            <w:ind w:left="142"/>
            <w:jc w:val="both"/>
            <w:rPr>
              <w:rFonts w:cstheme="minorHAnsi"/>
              <w:sz w:val="23"/>
              <w:szCs w:val="23"/>
            </w:rPr>
          </w:pPr>
        </w:p>
        <w:p w14:paraId="020C7218" w14:textId="37980C5B" w:rsidR="009377FC" w:rsidRPr="00406EBF" w:rsidRDefault="009377FC" w:rsidP="00E01F4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Une atteinte à l’intégrité peut par exemple concerner une irrégularité dans une procédure de marché public, un détournement de biens, du favoritisme, une instruction illégale ou toute autre irrégularité portant une atteinte sérieuse à l’intérêt général. Ainsi, la notion d’atteinte à </w:t>
          </w:r>
          <w:r w:rsidRPr="00406EBF">
            <w:rPr>
              <w:rFonts w:cstheme="minorHAnsi"/>
              <w:sz w:val="23"/>
              <w:szCs w:val="23"/>
            </w:rPr>
            <w:lastRenderedPageBreak/>
            <w:t>l’intégrité vise aussi bien la fraude, la corruption que les violations des règles déontologiques, des règles sur les conflits d’intérêts ou des règles relatives aux interdictions ou limitations de certaines activités, etc.</w:t>
          </w:r>
          <w:r w:rsidR="004409F8">
            <w:rPr>
              <w:rFonts w:cstheme="minorHAnsi"/>
              <w:sz w:val="23"/>
              <w:szCs w:val="23"/>
            </w:rPr>
            <w:t>.</w:t>
          </w:r>
          <w:r w:rsidRPr="00406EBF">
            <w:rPr>
              <w:rFonts w:cstheme="minorHAnsi"/>
              <w:sz w:val="23"/>
              <w:szCs w:val="23"/>
            </w:rPr>
            <w:t>.</w:t>
          </w:r>
        </w:p>
        <w:p w14:paraId="3281C196" w14:textId="77777777" w:rsidR="009377FC" w:rsidRPr="00406EBF" w:rsidRDefault="009377FC" w:rsidP="009377FC">
          <w:pPr>
            <w:tabs>
              <w:tab w:val="left" w:pos="709"/>
            </w:tabs>
            <w:spacing w:line="240" w:lineRule="auto"/>
            <w:jc w:val="both"/>
            <w:rPr>
              <w:rFonts w:cstheme="minorHAnsi"/>
              <w:sz w:val="23"/>
              <w:szCs w:val="23"/>
            </w:rPr>
          </w:pPr>
        </w:p>
        <w:p w14:paraId="36EC5A2E" w14:textId="69D6F7C5" w:rsidR="009377FC" w:rsidRPr="00406EBF" w:rsidRDefault="009377FC" w:rsidP="00E01F4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loi du 15 septembre 2013 donne le choix au fonctionnaire</w:t>
          </w:r>
          <w:r w:rsidR="00930B7B" w:rsidRPr="00406EBF">
            <w:rPr>
              <w:rFonts w:cstheme="minorHAnsi"/>
              <w:sz w:val="23"/>
              <w:szCs w:val="23"/>
            </w:rPr>
            <w:t xml:space="preserve"> – ou à la personne ayant quitté la fonction publique depuis moins de deux ans – de </w:t>
          </w:r>
          <w:r w:rsidRPr="00406EBF">
            <w:rPr>
              <w:rFonts w:cstheme="minorHAnsi"/>
              <w:sz w:val="23"/>
              <w:szCs w:val="23"/>
            </w:rPr>
            <w:t xml:space="preserve">s’adresser à la PCI de son organisation ou au CINT. </w:t>
          </w:r>
          <w:r w:rsidR="00241C3B" w:rsidRPr="00406EBF">
            <w:rPr>
              <w:rFonts w:cstheme="minorHAnsi"/>
              <w:sz w:val="23"/>
              <w:szCs w:val="23"/>
            </w:rPr>
            <w:t>Le système de signalement dispense le fonctionnaire fédéral ayant eu connaissance d’un crime ou d’un délit de l’obligation d’en avertir le procureur du Roi, visée à l'article 29 du Code d’instruction criminelle</w:t>
          </w:r>
          <w:r w:rsidR="00A27A70">
            <w:rPr>
              <w:rStyle w:val="Appelnotedebasdep"/>
              <w:rFonts w:cstheme="minorHAnsi"/>
              <w:sz w:val="23"/>
              <w:szCs w:val="23"/>
            </w:rPr>
            <w:footnoteReference w:id="40"/>
          </w:r>
          <w:r w:rsidR="00241C3B" w:rsidRPr="00406EBF">
            <w:rPr>
              <w:rFonts w:cstheme="minorHAnsi"/>
              <w:sz w:val="23"/>
              <w:szCs w:val="23"/>
            </w:rPr>
            <w:t>. Cette obligation est transférée aux PCI et au CINT, qui, dans le cadre du traitement d’un signalement, sont tenus d’informer le procureur du Roi en cas de connaissance d’un crime ou d’un délit potentiel.</w:t>
          </w:r>
        </w:p>
        <w:p w14:paraId="244C7A84" w14:textId="77777777" w:rsidR="00241C3B" w:rsidRPr="00406EBF" w:rsidRDefault="00241C3B" w:rsidP="00241C3B">
          <w:pPr>
            <w:pStyle w:val="Paragraphedeliste"/>
            <w:rPr>
              <w:rFonts w:cstheme="minorHAnsi"/>
              <w:sz w:val="23"/>
              <w:szCs w:val="23"/>
            </w:rPr>
          </w:pPr>
        </w:p>
        <w:p w14:paraId="2504F1B2" w14:textId="6BCFEA7C"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fonctionnaires </w:t>
          </w:r>
          <w:r w:rsidR="00C4036E" w:rsidRPr="00406EBF">
            <w:rPr>
              <w:rFonts w:cstheme="minorHAnsi"/>
              <w:sz w:val="23"/>
              <w:szCs w:val="23"/>
            </w:rPr>
            <w:t>doivent</w:t>
          </w:r>
          <w:r w:rsidRPr="00406EBF">
            <w:rPr>
              <w:rFonts w:cstheme="minorHAnsi"/>
              <w:sz w:val="23"/>
              <w:szCs w:val="23"/>
            </w:rPr>
            <w:t xml:space="preserve"> demander à la PCI ou au CINT un avis préalable concernant le signalement envisagé. La demande d’avis préalable constitue une étape obligatoire au cours de laquelle la PCI ou le CINT examine si le signalement est recevable et s’il existe suffisamment d’éléments permettant d’appuyer les soupçons d’irrégularités. Le cas échéant, un avis favorable est rendu et le fonctionnaire concerné peut confirmer son signalement, ce qui va donner lieu à l’ouverture d’une enquête par le CINT. Si un avis défavorable est rendu</w:t>
          </w:r>
          <w:r w:rsidR="00EC1176">
            <w:rPr>
              <w:rFonts w:cstheme="minorHAnsi"/>
              <w:sz w:val="23"/>
              <w:szCs w:val="23"/>
            </w:rPr>
            <w:t xml:space="preserve"> par le CINT</w:t>
          </w:r>
          <w:r w:rsidRPr="00406EBF">
            <w:rPr>
              <w:rFonts w:cstheme="minorHAnsi"/>
              <w:sz w:val="23"/>
              <w:szCs w:val="23"/>
            </w:rPr>
            <w:t>, la procédure s’arrête et aucune enquête n’est menée.</w:t>
          </w:r>
        </w:p>
        <w:p w14:paraId="49B9080A" w14:textId="77777777" w:rsidR="00994156" w:rsidRPr="00406EBF" w:rsidRDefault="00994156" w:rsidP="00994156">
          <w:pPr>
            <w:pStyle w:val="Paragraphedeliste"/>
            <w:rPr>
              <w:rFonts w:cstheme="minorHAnsi"/>
              <w:sz w:val="23"/>
              <w:szCs w:val="23"/>
            </w:rPr>
          </w:pPr>
        </w:p>
        <w:p w14:paraId="5A764152"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CINT est seul compétent pour mener l’enquête sur les irrégularités signalées. Dans ce cadre, le CINT est notamment habilité à faire toute constatation sur place, obtenir tous les documents et informations papier ou électroniques qu’il estime utiles, et entendre tous les membres du personnel concernés. Par ailleurs, les membres du personnel sont relevés de leur obligation de garder le secret </w:t>
          </w:r>
          <w:r w:rsidR="00930B7B" w:rsidRPr="00406EBF">
            <w:rPr>
              <w:rFonts w:cstheme="minorHAnsi"/>
              <w:sz w:val="23"/>
              <w:szCs w:val="23"/>
            </w:rPr>
            <w:t xml:space="preserve">de fonction </w:t>
          </w:r>
          <w:r w:rsidRPr="00406EBF">
            <w:rPr>
              <w:rFonts w:cstheme="minorHAnsi"/>
              <w:sz w:val="23"/>
              <w:szCs w:val="23"/>
            </w:rPr>
            <w:t>dans le cadre d’une enquête du CINT.</w:t>
          </w:r>
          <w:r w:rsidR="00930B7B" w:rsidRPr="00406EBF">
            <w:rPr>
              <w:rFonts w:cstheme="minorHAnsi"/>
              <w:sz w:val="23"/>
              <w:szCs w:val="23"/>
            </w:rPr>
            <w:t xml:space="preserve"> </w:t>
          </w:r>
        </w:p>
        <w:p w14:paraId="05B4D0E4" w14:textId="77777777" w:rsidR="00994156" w:rsidRPr="00406EBF" w:rsidRDefault="00994156" w:rsidP="00994156">
          <w:pPr>
            <w:pStyle w:val="Paragraphedeliste"/>
            <w:rPr>
              <w:rFonts w:cstheme="minorHAnsi"/>
              <w:sz w:val="23"/>
              <w:szCs w:val="23"/>
            </w:rPr>
          </w:pPr>
        </w:p>
        <w:p w14:paraId="04BE761A"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A l’issue de l’enquête, le CINT établit un rapport avec ses constatations et ses conclusions. Ce rapport est transmis au fonctionnaire dirigeant de l’administration fédérale concernée, ou au ministre si le fonctionnaire dirigeant est impliqué dans l’atteinte à l’intégrité constatée. </w:t>
          </w:r>
        </w:p>
        <w:p w14:paraId="19C56A8F" w14:textId="77777777" w:rsidR="00994156" w:rsidRPr="00406EBF" w:rsidRDefault="00994156" w:rsidP="00994156">
          <w:pPr>
            <w:tabs>
              <w:tab w:val="left" w:pos="709"/>
            </w:tabs>
            <w:spacing w:line="240" w:lineRule="auto"/>
            <w:jc w:val="both"/>
            <w:rPr>
              <w:rFonts w:cstheme="minorHAnsi"/>
              <w:sz w:val="23"/>
              <w:szCs w:val="23"/>
            </w:rPr>
          </w:pPr>
        </w:p>
        <w:p w14:paraId="4595C2BF"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choix des éventuelles mesures ou sanctions à prendre relève de la seule compétence du fonctionnaire dirigeant, ou le cas échéant du ministre, auquel le rapport d’enquête est transmis. Le CINT n’assure pas de suivi des éventuelles mesures ou sanctions prises.</w:t>
          </w:r>
        </w:p>
        <w:p w14:paraId="1D5CE837" w14:textId="77777777" w:rsidR="00994156" w:rsidRPr="00406EBF" w:rsidRDefault="00994156" w:rsidP="00994156">
          <w:pPr>
            <w:tabs>
              <w:tab w:val="left" w:pos="709"/>
            </w:tabs>
            <w:spacing w:line="240" w:lineRule="auto"/>
            <w:jc w:val="both"/>
            <w:rPr>
              <w:rFonts w:cstheme="minorHAnsi"/>
              <w:sz w:val="23"/>
              <w:szCs w:val="23"/>
            </w:rPr>
          </w:pPr>
        </w:p>
        <w:p w14:paraId="10453CC2"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rapport peut également contenir des recommandations en cas de dysfonctionnement ou d’insuffisance dans le système de contrôle interne ou dans les procédures existantes. Les recommandations visent à améliorer le fonctionnement de l’administration fédérale et/ou atténuer les risques de récidives ultérieures. Il appartient au fonctionnaire dirigeant concerné, ou le cas échéant au ministre, de donner suite aux recommandations formulées. Le CINT assure le suivi de ces recommandations.</w:t>
          </w:r>
        </w:p>
        <w:p w14:paraId="4B38897C" w14:textId="77777777" w:rsidR="00C85081" w:rsidRPr="00406EBF" w:rsidRDefault="00C85081" w:rsidP="00C85081">
          <w:pPr>
            <w:pStyle w:val="Paragraphedeliste"/>
            <w:rPr>
              <w:rFonts w:cstheme="minorHAnsi"/>
              <w:sz w:val="23"/>
              <w:szCs w:val="23"/>
            </w:rPr>
          </w:pPr>
        </w:p>
        <w:p w14:paraId="52FF3DED" w14:textId="77777777" w:rsidR="00C85081" w:rsidRPr="00406EBF" w:rsidRDefault="00C85081" w:rsidP="00C8508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système de signalement prévoit également une </w:t>
          </w:r>
          <w:r w:rsidRPr="00406EBF">
            <w:rPr>
              <w:rFonts w:cstheme="minorHAnsi"/>
              <w:sz w:val="23"/>
              <w:szCs w:val="23"/>
              <w:u w:val="single"/>
            </w:rPr>
            <w:t>protection de droit pour les fonctionnaires fédéraux lanceurs d’alerte</w:t>
          </w:r>
          <w:r w:rsidRPr="00406EBF">
            <w:rPr>
              <w:rFonts w:cstheme="minorHAnsi"/>
              <w:sz w:val="23"/>
              <w:szCs w:val="23"/>
            </w:rPr>
            <w:t>, ainsi que pour tous les fonctionnaires fédéraux associés à l’enquête</w:t>
          </w:r>
          <w:r w:rsidR="00930B7B" w:rsidRPr="00406EBF">
            <w:rPr>
              <w:rFonts w:cstheme="minorHAnsi"/>
              <w:sz w:val="23"/>
              <w:szCs w:val="23"/>
            </w:rPr>
            <w:t xml:space="preserve"> et les PCI</w:t>
          </w:r>
          <w:r w:rsidRPr="00406EBF">
            <w:rPr>
              <w:rFonts w:cstheme="minorHAnsi"/>
              <w:sz w:val="23"/>
              <w:szCs w:val="23"/>
            </w:rPr>
            <w:t xml:space="preserve">. Cette protection débute à la date de la demande d’avis préalable ou la date d’association à l’enquête et dure jusqu’à </w:t>
          </w:r>
          <w:r w:rsidR="00930B7B" w:rsidRPr="00406EBF">
            <w:rPr>
              <w:rFonts w:cstheme="minorHAnsi"/>
              <w:sz w:val="23"/>
              <w:szCs w:val="23"/>
            </w:rPr>
            <w:t>trois</w:t>
          </w:r>
          <w:r w:rsidRPr="00406EBF">
            <w:rPr>
              <w:rFonts w:cstheme="minorHAnsi"/>
              <w:sz w:val="23"/>
              <w:szCs w:val="23"/>
            </w:rPr>
            <w:t xml:space="preserve"> ans après la clôture du rapport d’enquête ou une décision judiciaire définitive. Il s’agit d’une protection contre toute mesure de représailles liée au signalement ou à la collaboration à l’enquête. La protection est assurée par le CINT</w:t>
          </w:r>
          <w:r w:rsidR="00930B7B" w:rsidRPr="00406EBF">
            <w:rPr>
              <w:rFonts w:cstheme="minorHAnsi"/>
              <w:sz w:val="23"/>
              <w:szCs w:val="23"/>
            </w:rPr>
            <w:t>, qui peut agir d’autorité s’il constate qu’une mesure coercitive a été prise à l’égard du lanceur d’alerte</w:t>
          </w:r>
          <w:r w:rsidRPr="00406EBF">
            <w:rPr>
              <w:rFonts w:cstheme="minorHAnsi"/>
              <w:sz w:val="23"/>
              <w:szCs w:val="23"/>
            </w:rPr>
            <w:t xml:space="preserve">. </w:t>
          </w:r>
        </w:p>
        <w:p w14:paraId="24F78BCF" w14:textId="77777777" w:rsidR="00C85081" w:rsidRPr="00406EBF" w:rsidRDefault="00C85081" w:rsidP="00C85081">
          <w:pPr>
            <w:tabs>
              <w:tab w:val="left" w:pos="709"/>
            </w:tabs>
            <w:spacing w:line="240" w:lineRule="auto"/>
            <w:jc w:val="both"/>
            <w:rPr>
              <w:rFonts w:cstheme="minorHAnsi"/>
              <w:sz w:val="23"/>
              <w:szCs w:val="23"/>
            </w:rPr>
          </w:pPr>
        </w:p>
        <w:p w14:paraId="47BB4E74" w14:textId="77777777" w:rsidR="00994156" w:rsidRPr="00406EBF" w:rsidRDefault="00C85081" w:rsidP="0099415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Sur la base du rapport d’enquête remis par le CINT, le fonctionnaire dirigeant ou le ministre peut décider d’initier une procédure disciplinaire ou de prendre toute autre mesure corrective qu’il estime utile.</w:t>
          </w:r>
        </w:p>
        <w:p w14:paraId="77BD9234" w14:textId="77777777" w:rsidR="005926B3" w:rsidRPr="00406EBF" w:rsidRDefault="005926B3" w:rsidP="005926B3">
          <w:pPr>
            <w:tabs>
              <w:tab w:val="left" w:pos="709"/>
            </w:tabs>
            <w:spacing w:line="240" w:lineRule="auto"/>
            <w:jc w:val="both"/>
            <w:rPr>
              <w:rFonts w:cstheme="minorHAnsi"/>
              <w:sz w:val="23"/>
              <w:szCs w:val="23"/>
            </w:rPr>
          </w:pPr>
        </w:p>
        <w:p w14:paraId="3E9EBB78" w14:textId="77777777" w:rsidR="00BC41E1" w:rsidRPr="00406EBF" w:rsidRDefault="00BC41E1" w:rsidP="00BC41E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Chaque année, le Médiateur fédéral remet un rapport annuel de ses activités à l’attention de la Chambre des représentants. Le rapport annuel est aussi publié et accessible au grand public</w:t>
          </w:r>
          <w:r w:rsidRPr="00406EBF">
            <w:rPr>
              <w:rStyle w:val="Appelnotedebasdep"/>
              <w:rFonts w:cstheme="minorHAnsi"/>
              <w:sz w:val="23"/>
              <w:szCs w:val="23"/>
            </w:rPr>
            <w:footnoteReference w:id="41"/>
          </w:r>
          <w:r w:rsidRPr="00406EBF">
            <w:rPr>
              <w:rFonts w:cstheme="minorHAnsi"/>
              <w:sz w:val="23"/>
              <w:szCs w:val="23"/>
            </w:rPr>
            <w:t xml:space="preserve">. Les activités du CINT y sont décrites de façon anonymisée (thèmes des enquêtes sans mention de l’administration ou du membre du personnel visé(e)), dans un souci de confidentialité </w:t>
          </w:r>
          <w:r w:rsidR="00BE2A81">
            <w:rPr>
              <w:rFonts w:cstheme="minorHAnsi"/>
              <w:sz w:val="23"/>
              <w:szCs w:val="23"/>
            </w:rPr>
            <w:t>et</w:t>
          </w:r>
          <w:r w:rsidRPr="00406EBF">
            <w:rPr>
              <w:rFonts w:cstheme="minorHAnsi"/>
              <w:sz w:val="23"/>
              <w:szCs w:val="23"/>
            </w:rPr>
            <w:t xml:space="preserve"> de respect de la vie privée des membres du personnel concernés. </w:t>
          </w:r>
        </w:p>
        <w:p w14:paraId="6A8AB7B1" w14:textId="77777777" w:rsidR="00BC41E1" w:rsidRPr="00406EBF" w:rsidRDefault="00BC41E1" w:rsidP="00BC41E1">
          <w:pPr>
            <w:tabs>
              <w:tab w:val="left" w:pos="709"/>
            </w:tabs>
            <w:spacing w:line="240" w:lineRule="auto"/>
            <w:jc w:val="both"/>
            <w:rPr>
              <w:rFonts w:cstheme="minorHAnsi"/>
              <w:sz w:val="23"/>
              <w:szCs w:val="23"/>
            </w:rPr>
          </w:pPr>
        </w:p>
        <w:p w14:paraId="66B5FDFB" w14:textId="77777777" w:rsidR="00BC41E1" w:rsidRPr="00406EBF" w:rsidRDefault="00BC41E1" w:rsidP="00BC41E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statistiques du CINT reprennent le nombre d’enquêtes menées et le résultat de celles-ci (constat d’atteinte à l’intégrité ou non). Le CINT mentionne également les recommandations formulées à l’issue d’une enquête et le suivi y apporté par l’administration. Le CINT n’établit pas de statistiques ventilées par type de membre du personnel (titulaire d’une fonction de management ou autres), ni sur les éventuelles sanctions ou mesures prises par l’administration concernée. </w:t>
          </w:r>
        </w:p>
        <w:p w14:paraId="6EDD699C" w14:textId="77777777" w:rsidR="00BC41E1" w:rsidRPr="00406EBF" w:rsidRDefault="00BC41E1" w:rsidP="005926B3">
          <w:pPr>
            <w:tabs>
              <w:tab w:val="left" w:pos="709"/>
            </w:tabs>
            <w:spacing w:line="240" w:lineRule="auto"/>
            <w:jc w:val="both"/>
            <w:rPr>
              <w:rFonts w:cstheme="minorHAnsi"/>
              <w:sz w:val="23"/>
              <w:szCs w:val="23"/>
            </w:rPr>
          </w:pPr>
        </w:p>
        <w:p w14:paraId="3F29874C" w14:textId="77777777" w:rsidR="00556660" w:rsidRPr="00406EBF" w:rsidRDefault="00556660" w:rsidP="0055666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Outre le système de signalement décrit ci-dessus, depuis le 1</w:t>
          </w:r>
          <w:r w:rsidRPr="00406EBF">
            <w:rPr>
              <w:rFonts w:cstheme="minorHAnsi"/>
              <w:sz w:val="23"/>
              <w:szCs w:val="23"/>
              <w:vertAlign w:val="superscript"/>
            </w:rPr>
            <w:t>er</w:t>
          </w:r>
          <w:r w:rsidRPr="00406EBF">
            <w:rPr>
              <w:rFonts w:cstheme="minorHAnsi"/>
              <w:sz w:val="23"/>
              <w:szCs w:val="23"/>
            </w:rPr>
            <w:t xml:space="preserve"> janvier 2018, certaines atteintes à l’intégrité potentielles peuvent également être soumises au </w:t>
          </w:r>
          <w:r w:rsidRPr="00406EBF">
            <w:rPr>
              <w:rFonts w:cstheme="minorHAnsi"/>
              <w:sz w:val="23"/>
              <w:szCs w:val="23"/>
              <w:u w:val="single"/>
            </w:rPr>
            <w:t>Service fédéral d’audit interne (FAI)</w:t>
          </w:r>
          <w:r w:rsidRPr="00406EBF">
            <w:rPr>
              <w:rFonts w:cstheme="minorHAnsi"/>
              <w:sz w:val="23"/>
              <w:szCs w:val="23"/>
            </w:rPr>
            <w:t xml:space="preserve"> qui exerce des activités de « forensic audit» (inventaire, prévention, détection et analyse en matière de fraude). Les demandes peuvent provenir d’un ministre, un fonctionnaire ou tout citoyen. Un protocole doit encore être établi entre le FAI et le CINT afin de clarifier leurs relations et éviter les duplications. </w:t>
          </w:r>
        </w:p>
        <w:p w14:paraId="373851BE" w14:textId="77777777" w:rsidR="00556660" w:rsidRPr="00406EBF" w:rsidRDefault="00556660" w:rsidP="005926B3">
          <w:pPr>
            <w:tabs>
              <w:tab w:val="left" w:pos="709"/>
            </w:tabs>
            <w:spacing w:line="240" w:lineRule="auto"/>
            <w:jc w:val="both"/>
            <w:rPr>
              <w:rFonts w:cstheme="minorHAnsi"/>
              <w:sz w:val="23"/>
              <w:szCs w:val="23"/>
            </w:rPr>
          </w:pPr>
        </w:p>
        <w:p w14:paraId="06A4A56B" w14:textId="77777777" w:rsidR="008F5D97" w:rsidRPr="00406EBF" w:rsidRDefault="008F5D97" w:rsidP="003F2FA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L’EEG note que le système de signalement d’atteintes à l’intégrité prévu par la loi du 15 septembre 2013, telle que complétée par la loi du 8 mai 2019, semble assez complet. Elle a appris toutefois que le champ d’application de la loi ne vise pas les organes stratégiques/cabinets ministériels. Le CINT n’est donc pas compétent pour enquêter sur des manquements supposés à l’intégrité au sein de ces organes, alors même qu’il a eu connaissance d’au moins un cas de favoritisme dans le recrutement au sein d’un cabinet, comme il en a fait part à l’EEG. Par conséquent, </w:t>
          </w:r>
          <w:r w:rsidRPr="00406EBF">
            <w:rPr>
              <w:rFonts w:cstheme="minorHAnsi"/>
              <w:b/>
              <w:sz w:val="23"/>
              <w:szCs w:val="23"/>
            </w:rPr>
            <w:t xml:space="preserve">le GRECO recommande </w:t>
          </w:r>
          <w:bookmarkStart w:id="88" w:name="_Hlk26528737"/>
          <w:r w:rsidRPr="00406EBF">
            <w:rPr>
              <w:rFonts w:cstheme="minorHAnsi"/>
              <w:b/>
              <w:sz w:val="23"/>
              <w:szCs w:val="23"/>
            </w:rPr>
            <w:t>que les organes stratégiques/cabinets soient soumis au champ d’application de la loi relative à la dénonciation d’une atteinte suspectée à l’intégrité au sein d’une autorité administrative fédérale par un membre de son personnel</w:t>
          </w:r>
          <w:bookmarkEnd w:id="88"/>
          <w:r w:rsidRPr="00406EBF">
            <w:rPr>
              <w:rFonts w:cstheme="minorHAnsi"/>
              <w:b/>
              <w:sz w:val="23"/>
              <w:szCs w:val="23"/>
            </w:rPr>
            <w:t xml:space="preserve">. </w:t>
          </w:r>
        </w:p>
        <w:p w14:paraId="756AA09B" w14:textId="77777777" w:rsidR="008F5D97" w:rsidRPr="00406EBF" w:rsidRDefault="008F5D97" w:rsidP="00C85081">
          <w:pPr>
            <w:pStyle w:val="Paragraphedeliste"/>
            <w:rPr>
              <w:rFonts w:cstheme="minorHAnsi"/>
              <w:sz w:val="23"/>
              <w:szCs w:val="23"/>
            </w:rPr>
          </w:pPr>
        </w:p>
        <w:p w14:paraId="545DE3DE" w14:textId="00B8FD45" w:rsidR="0009793B" w:rsidRPr="00406EBF" w:rsidRDefault="00E62FEB" w:rsidP="003F2FAD">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S’agissant d</w:t>
          </w:r>
          <w:r w:rsidR="0009793B" w:rsidRPr="00406EBF">
            <w:rPr>
              <w:rFonts w:cstheme="minorHAnsi"/>
              <w:sz w:val="23"/>
              <w:szCs w:val="23"/>
            </w:rPr>
            <w:t xml:space="preserve">es membres des cabinets/organes </w:t>
          </w:r>
          <w:r w:rsidR="00607020" w:rsidRPr="00406EBF">
            <w:rPr>
              <w:rFonts w:cstheme="minorHAnsi"/>
              <w:sz w:val="23"/>
              <w:szCs w:val="23"/>
            </w:rPr>
            <w:t>stratégiques,</w:t>
          </w:r>
          <w:r>
            <w:rPr>
              <w:rFonts w:cstheme="minorHAnsi"/>
              <w:sz w:val="23"/>
              <w:szCs w:val="23"/>
            </w:rPr>
            <w:t xml:space="preserve"> e</w:t>
          </w:r>
          <w:r w:rsidR="0009793B" w:rsidRPr="00406EBF">
            <w:rPr>
              <w:rFonts w:cstheme="minorHAnsi"/>
              <w:sz w:val="23"/>
              <w:szCs w:val="23"/>
            </w:rPr>
            <w:t>n cas de</w:t>
          </w:r>
          <w:r w:rsidR="003F2FAD" w:rsidRPr="00406EBF">
            <w:rPr>
              <w:rFonts w:cstheme="minorHAnsi"/>
              <w:sz w:val="23"/>
              <w:szCs w:val="23"/>
            </w:rPr>
            <w:t xml:space="preserve"> manquement à une obligation professionnelle ou de perte de confiance, le ministre met fin à leurs fonctions</w:t>
          </w:r>
          <w:r>
            <w:rPr>
              <w:rFonts w:cstheme="minorHAnsi"/>
              <w:sz w:val="23"/>
              <w:szCs w:val="23"/>
            </w:rPr>
            <w:t xml:space="preserve"> ou à leur détachement au sein du cabinet</w:t>
          </w:r>
          <w:r w:rsidR="003F2FAD" w:rsidRPr="00406EBF">
            <w:rPr>
              <w:rFonts w:cstheme="minorHAnsi"/>
              <w:sz w:val="23"/>
              <w:szCs w:val="23"/>
            </w:rPr>
            <w:t xml:space="preserve">. Quant aux ministres, ils ne sont soumis à aucun mécanisme non répressif de surveillance ou de sanction. L’EEG rappelle sa recommandation figurant au </w:t>
          </w:r>
          <w:r w:rsidR="003F2FAD" w:rsidRPr="004409F8">
            <w:rPr>
              <w:rFonts w:cstheme="minorHAnsi"/>
              <w:sz w:val="23"/>
              <w:szCs w:val="23"/>
            </w:rPr>
            <w:t xml:space="preserve">paragraphe </w:t>
          </w:r>
          <w:r w:rsidR="00BE2A81" w:rsidRPr="004409F8">
            <w:rPr>
              <w:rFonts w:cstheme="minorHAnsi"/>
              <w:sz w:val="23"/>
              <w:szCs w:val="23"/>
            </w:rPr>
            <w:t>45</w:t>
          </w:r>
          <w:r w:rsidR="003F2FAD" w:rsidRPr="004409F8">
            <w:rPr>
              <w:rFonts w:cstheme="minorHAnsi"/>
              <w:sz w:val="23"/>
              <w:szCs w:val="23"/>
            </w:rPr>
            <w:t>, ap</w:t>
          </w:r>
          <w:r w:rsidR="003F2FAD" w:rsidRPr="00406EBF">
            <w:rPr>
              <w:rFonts w:cstheme="minorHAnsi"/>
              <w:sz w:val="23"/>
              <w:szCs w:val="23"/>
            </w:rPr>
            <w:t xml:space="preserve">pelant à la mise en place d’un système de surveillance et de sanction accompagnant le futur cadre déontologique des PHFE. </w:t>
          </w:r>
        </w:p>
        <w:p w14:paraId="30FB9EA1" w14:textId="77777777" w:rsidR="0009793B" w:rsidRPr="00406EBF" w:rsidRDefault="0009793B" w:rsidP="0009793B">
          <w:pPr>
            <w:pStyle w:val="Paragraphedeliste"/>
            <w:rPr>
              <w:sz w:val="21"/>
              <w:szCs w:val="21"/>
              <w:highlight w:val="green"/>
            </w:rPr>
          </w:pPr>
        </w:p>
        <w:p w14:paraId="40015E4E" w14:textId="77777777" w:rsidR="00564EA8" w:rsidRPr="00406EBF" w:rsidRDefault="00564EA8" w:rsidP="00564EA8">
          <w:pPr>
            <w:pStyle w:val="Paragraphedeliste"/>
            <w:rPr>
              <w:rFonts w:cstheme="minorHAnsi"/>
              <w:sz w:val="23"/>
              <w:szCs w:val="23"/>
            </w:rPr>
          </w:pPr>
        </w:p>
        <w:p w14:paraId="0F8BABAF" w14:textId="77777777" w:rsidR="00D203CD" w:rsidRPr="00406EBF" w:rsidRDefault="00D203CD" w:rsidP="00D203CD">
          <w:pPr>
            <w:spacing w:line="240" w:lineRule="auto"/>
            <w:jc w:val="both"/>
            <w:rPr>
              <w:rFonts w:cstheme="minorHAnsi"/>
              <w:sz w:val="23"/>
              <w:szCs w:val="23"/>
            </w:rPr>
          </w:pPr>
        </w:p>
        <w:p w14:paraId="7C4607C7" w14:textId="77777777" w:rsidR="00D203CD" w:rsidRPr="00406EBF" w:rsidRDefault="00D203CD" w:rsidP="00D203CD">
          <w:pPr>
            <w:pStyle w:val="Paragraphedeliste"/>
            <w:rPr>
              <w:rFonts w:cstheme="minorHAnsi"/>
              <w:sz w:val="23"/>
              <w:szCs w:val="23"/>
            </w:rPr>
          </w:pPr>
        </w:p>
        <w:p w14:paraId="25A547C5" w14:textId="77777777" w:rsidR="00B80FC9" w:rsidRPr="00406EBF" w:rsidRDefault="00B80FC9" w:rsidP="001878CC">
          <w:pPr>
            <w:spacing w:line="240" w:lineRule="auto"/>
            <w:jc w:val="both"/>
            <w:rPr>
              <w:rFonts w:cstheme="minorHAnsi"/>
              <w:sz w:val="21"/>
              <w:szCs w:val="21"/>
            </w:rPr>
          </w:pPr>
          <w:r w:rsidRPr="00406EBF">
            <w:rPr>
              <w:rFonts w:cstheme="minorHAnsi"/>
              <w:sz w:val="23"/>
              <w:szCs w:val="23"/>
            </w:rPr>
            <w:br w:type="page"/>
          </w:r>
        </w:p>
      </w:sdtContent>
    </w:sdt>
    <w:p w14:paraId="50BF0863" w14:textId="77777777" w:rsidR="009817E9" w:rsidRPr="00406EBF" w:rsidRDefault="00B80FC9" w:rsidP="001878CC">
      <w:pPr>
        <w:pStyle w:val="Titre1"/>
        <w:keepNext w:val="0"/>
        <w:keepLines w:val="0"/>
        <w:spacing w:before="0" w:line="240" w:lineRule="auto"/>
        <w:jc w:val="both"/>
        <w:rPr>
          <w:rFonts w:asciiTheme="minorHAnsi" w:hAnsiTheme="minorHAnsi" w:cstheme="minorHAnsi"/>
          <w:color w:val="auto"/>
          <w:sz w:val="23"/>
          <w:szCs w:val="23"/>
        </w:rPr>
      </w:pPr>
      <w:bookmarkStart w:id="89" w:name="_Toc21339578"/>
      <w:bookmarkStart w:id="90" w:name="_Toc492886116"/>
      <w:r w:rsidRPr="00406EBF">
        <w:rPr>
          <w:rFonts w:asciiTheme="minorHAnsi" w:hAnsiTheme="minorHAnsi" w:cstheme="minorHAnsi"/>
          <w:color w:val="auto"/>
          <w:sz w:val="23"/>
          <w:szCs w:val="23"/>
        </w:rPr>
        <w:lastRenderedPageBreak/>
        <w:t>V.</w:t>
      </w:r>
      <w:r w:rsidRPr="00406EBF">
        <w:rPr>
          <w:rFonts w:asciiTheme="minorHAnsi" w:hAnsiTheme="minorHAnsi" w:cstheme="minorHAnsi"/>
          <w:color w:val="auto"/>
          <w:sz w:val="23"/>
          <w:szCs w:val="23"/>
        </w:rPr>
        <w:tab/>
      </w:r>
      <w:r w:rsidR="009817E9" w:rsidRPr="00406EBF">
        <w:rPr>
          <w:rFonts w:asciiTheme="minorHAnsi" w:hAnsiTheme="minorHAnsi" w:cstheme="minorHAnsi"/>
          <w:color w:val="auto"/>
          <w:sz w:val="23"/>
          <w:szCs w:val="23"/>
          <w:u w:val="single"/>
        </w:rPr>
        <w:t>PRÉVENTION DE LA CORRUPTION AU SEIN DES SERVICES RÉPRESSIFS</w:t>
      </w:r>
      <w:bookmarkEnd w:id="89"/>
    </w:p>
    <w:sdt>
      <w:sdtPr>
        <w:rPr>
          <w:rFonts w:asciiTheme="minorHAnsi" w:eastAsiaTheme="minorHAnsi" w:hAnsiTheme="minorHAnsi" w:cstheme="minorBidi"/>
          <w:b w:val="0"/>
          <w:bCs w:val="0"/>
          <w:color w:val="auto"/>
          <w:sz w:val="21"/>
          <w:szCs w:val="21"/>
          <w:lang w:val="en-US"/>
        </w:rPr>
        <w:tag w:val="{41BC5973-55C8-49A6-B34E-52CDFD6CF398}"/>
        <w:id w:val="518743518"/>
        <w:lock w:val="sdtLocked"/>
      </w:sdtPr>
      <w:sdtEndPr/>
      <w:sdtContent>
        <w:p w14:paraId="4BB1A42B" w14:textId="77777777" w:rsidR="009817E9" w:rsidRPr="00406EBF" w:rsidRDefault="009817E9" w:rsidP="001878CC">
          <w:pPr>
            <w:pStyle w:val="Titre2"/>
            <w:keepNext w:val="0"/>
            <w:keepLines w:val="0"/>
            <w:spacing w:before="0" w:line="240" w:lineRule="auto"/>
            <w:jc w:val="both"/>
            <w:rPr>
              <w:rFonts w:asciiTheme="minorHAnsi" w:hAnsiTheme="minorHAnsi" w:cstheme="minorHAnsi"/>
              <w:color w:val="auto"/>
              <w:sz w:val="23"/>
              <w:szCs w:val="23"/>
            </w:rPr>
          </w:pPr>
        </w:p>
        <w:p w14:paraId="78F3D62A" w14:textId="77777777" w:rsidR="009817E9" w:rsidRPr="00406EBF" w:rsidRDefault="009817E9" w:rsidP="001878CC">
          <w:pPr>
            <w:pStyle w:val="Titre2"/>
            <w:keepNext w:val="0"/>
            <w:keepLines w:val="0"/>
            <w:spacing w:before="0" w:line="240" w:lineRule="auto"/>
            <w:jc w:val="both"/>
            <w:rPr>
              <w:rFonts w:asciiTheme="minorHAnsi" w:hAnsiTheme="minorHAnsi" w:cstheme="minorHAnsi"/>
              <w:color w:val="auto"/>
              <w:sz w:val="23"/>
              <w:szCs w:val="23"/>
              <w:u w:val="single"/>
            </w:rPr>
          </w:pPr>
          <w:bookmarkStart w:id="91" w:name="_Toc500418629"/>
          <w:bookmarkStart w:id="92" w:name="_Toc21339579"/>
          <w:r w:rsidRPr="00406EBF">
            <w:rPr>
              <w:rFonts w:asciiTheme="minorHAnsi" w:hAnsiTheme="minorHAnsi" w:cstheme="minorHAnsi"/>
              <w:color w:val="auto"/>
              <w:sz w:val="23"/>
              <w:szCs w:val="23"/>
              <w:u w:val="single"/>
            </w:rPr>
            <w:t>Organisation et responsabilité des services de police</w:t>
          </w:r>
          <w:bookmarkEnd w:id="91"/>
          <w:bookmarkEnd w:id="92"/>
        </w:p>
        <w:p w14:paraId="3D6C1393" w14:textId="77777777" w:rsidR="009817E9" w:rsidRPr="00406EBF" w:rsidRDefault="009817E9" w:rsidP="001878CC">
          <w:pPr>
            <w:pStyle w:val="Titre3"/>
            <w:keepNext w:val="0"/>
            <w:keepLines w:val="0"/>
            <w:spacing w:before="0" w:line="240" w:lineRule="auto"/>
            <w:jc w:val="both"/>
            <w:rPr>
              <w:rFonts w:asciiTheme="minorHAnsi" w:hAnsiTheme="minorHAnsi" w:cstheme="minorHAnsi"/>
              <w:color w:val="auto"/>
              <w:sz w:val="23"/>
              <w:szCs w:val="23"/>
            </w:rPr>
          </w:pPr>
        </w:p>
        <w:p w14:paraId="7637D43A" w14:textId="77777777" w:rsidR="00635CB2" w:rsidRPr="00406EBF" w:rsidRDefault="00635CB2" w:rsidP="001878CC">
          <w:pPr>
            <w:pStyle w:val="Titre3"/>
            <w:tabs>
              <w:tab w:val="left" w:pos="709"/>
            </w:tabs>
            <w:spacing w:before="0"/>
            <w:rPr>
              <w:rFonts w:asciiTheme="minorHAnsi" w:hAnsiTheme="minorHAnsi" w:cstheme="minorHAnsi"/>
              <w:b w:val="0"/>
              <w:i/>
              <w:color w:val="auto"/>
              <w:sz w:val="23"/>
              <w:szCs w:val="23"/>
            </w:rPr>
          </w:pPr>
          <w:bookmarkStart w:id="93" w:name="_Toc2777407"/>
          <w:bookmarkStart w:id="94" w:name="_Toc21339580"/>
          <w:r w:rsidRPr="00406EBF">
            <w:rPr>
              <w:rFonts w:asciiTheme="minorHAnsi" w:hAnsiTheme="minorHAnsi" w:cstheme="minorHAnsi"/>
              <w:b w:val="0"/>
              <w:i/>
              <w:color w:val="auto"/>
              <w:sz w:val="23"/>
              <w:szCs w:val="23"/>
            </w:rPr>
            <w:t>Aperçu des diverses autorités répressives</w:t>
          </w:r>
          <w:bookmarkEnd w:id="93"/>
          <w:bookmarkEnd w:id="94"/>
        </w:p>
        <w:bookmarkEnd w:id="90"/>
        <w:p w14:paraId="56D5AF81" w14:textId="77777777" w:rsidR="00B80FC9" w:rsidRPr="00406EBF" w:rsidRDefault="00B80FC9" w:rsidP="001B36AD">
          <w:pPr>
            <w:tabs>
              <w:tab w:val="left" w:pos="709"/>
            </w:tabs>
            <w:spacing w:line="240" w:lineRule="auto"/>
            <w:jc w:val="both"/>
            <w:rPr>
              <w:rFonts w:cstheme="minorHAnsi"/>
              <w:sz w:val="23"/>
              <w:szCs w:val="23"/>
            </w:rPr>
          </w:pPr>
        </w:p>
        <w:p w14:paraId="5EBABA35" w14:textId="3FB6AC29"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Depuis 2001 un seul service de </w:t>
          </w:r>
          <w:r w:rsidR="009A1167">
            <w:rPr>
              <w:rFonts w:cstheme="minorHAnsi"/>
              <w:sz w:val="23"/>
              <w:szCs w:val="23"/>
            </w:rPr>
            <w:t>p</w:t>
          </w:r>
          <w:r w:rsidRPr="00406EBF">
            <w:rPr>
              <w:rFonts w:cstheme="minorHAnsi"/>
              <w:sz w:val="23"/>
              <w:szCs w:val="23"/>
            </w:rPr>
            <w:t>olice intégré (GPI), structuré à deux niveaux</w:t>
          </w:r>
          <w:r w:rsidR="00EF008D" w:rsidRPr="00406EBF">
            <w:rPr>
              <w:rFonts w:cstheme="minorHAnsi"/>
              <w:sz w:val="23"/>
              <w:szCs w:val="23"/>
            </w:rPr>
            <w:t xml:space="preserve">, </w:t>
          </w:r>
          <w:r w:rsidRPr="00406EBF">
            <w:rPr>
              <w:rFonts w:cstheme="minorHAnsi"/>
              <w:sz w:val="23"/>
              <w:szCs w:val="23"/>
            </w:rPr>
            <w:t>fédéral et local</w:t>
          </w:r>
          <w:r w:rsidR="00EF008D" w:rsidRPr="00406EBF">
            <w:rPr>
              <w:rFonts w:cstheme="minorHAnsi"/>
              <w:sz w:val="23"/>
              <w:szCs w:val="23"/>
            </w:rPr>
            <w:t>,</w:t>
          </w:r>
          <w:r w:rsidRPr="00406EBF">
            <w:rPr>
              <w:rFonts w:cstheme="minorHAnsi"/>
              <w:sz w:val="23"/>
              <w:szCs w:val="23"/>
            </w:rPr>
            <w:t xml:space="preserve"> a été mis en place. Ces deux niveaux de police sont autonomes et dépendent d’autorités distinctes mais agissent de manière complémentaire</w:t>
          </w:r>
          <w:r w:rsidR="00466285">
            <w:rPr>
              <w:rFonts w:cstheme="minorHAnsi"/>
              <w:sz w:val="23"/>
              <w:szCs w:val="23"/>
            </w:rPr>
            <w:t>. L</w:t>
          </w:r>
          <w:r w:rsidRPr="00406EBF">
            <w:rPr>
              <w:rFonts w:cstheme="minorHAnsi"/>
              <w:sz w:val="23"/>
              <w:szCs w:val="23"/>
            </w:rPr>
            <w:t xml:space="preserve">a </w:t>
          </w:r>
          <w:r w:rsidR="009A1167">
            <w:rPr>
              <w:rFonts w:cstheme="minorHAnsi"/>
              <w:sz w:val="23"/>
              <w:szCs w:val="23"/>
            </w:rPr>
            <w:t>p</w:t>
          </w:r>
          <w:r w:rsidRPr="00406EBF">
            <w:rPr>
              <w:rFonts w:cstheme="minorHAnsi"/>
              <w:sz w:val="23"/>
              <w:szCs w:val="23"/>
            </w:rPr>
            <w:t xml:space="preserve">olice fédérale assure, sur l’ensemble du territoire, les missions de police administrative et judiciaire, ainsi que des missions d’appui aux polices locales et aux autorités de police.  </w:t>
          </w:r>
          <w:r w:rsidR="008C7A4D">
            <w:rPr>
              <w:rFonts w:cstheme="minorHAnsi"/>
              <w:sz w:val="23"/>
              <w:szCs w:val="23"/>
            </w:rPr>
            <w:t xml:space="preserve">Quant aux </w:t>
          </w:r>
          <w:r w:rsidR="00466285">
            <w:rPr>
              <w:rFonts w:cstheme="minorHAnsi"/>
              <w:sz w:val="23"/>
              <w:szCs w:val="23"/>
            </w:rPr>
            <w:t xml:space="preserve">186 </w:t>
          </w:r>
          <w:r w:rsidR="008C7A4D">
            <w:rPr>
              <w:rFonts w:cstheme="minorHAnsi"/>
              <w:sz w:val="23"/>
              <w:szCs w:val="23"/>
            </w:rPr>
            <w:t>corps de police locale, ils</w:t>
          </w:r>
          <w:r w:rsidR="00466285">
            <w:rPr>
              <w:rFonts w:cstheme="minorHAnsi"/>
              <w:sz w:val="23"/>
              <w:szCs w:val="23"/>
            </w:rPr>
            <w:t xml:space="preserve"> sont chargés des missions de police de base et de première ligne sur le territoire de leur circonscription et</w:t>
          </w:r>
          <w:r w:rsidR="008C7A4D">
            <w:rPr>
              <w:rFonts w:cstheme="minorHAnsi"/>
              <w:sz w:val="23"/>
              <w:szCs w:val="23"/>
            </w:rPr>
            <w:t xml:space="preserve"> exécutent </w:t>
          </w:r>
          <w:r w:rsidR="00466285">
            <w:rPr>
              <w:rFonts w:cstheme="minorHAnsi"/>
              <w:sz w:val="23"/>
              <w:szCs w:val="23"/>
            </w:rPr>
            <w:t xml:space="preserve">aussi </w:t>
          </w:r>
          <w:r w:rsidR="008C7A4D">
            <w:rPr>
              <w:rFonts w:cstheme="minorHAnsi"/>
              <w:sz w:val="23"/>
              <w:szCs w:val="23"/>
            </w:rPr>
            <w:t xml:space="preserve">des tâches et missions de police pour le compte des autorités fédérales, avec les mêmes compétences juridiques que celles de la police fédérale. L’Etat </w:t>
          </w:r>
          <w:r w:rsidR="00466285">
            <w:rPr>
              <w:rFonts w:cstheme="minorHAnsi"/>
              <w:sz w:val="23"/>
              <w:szCs w:val="23"/>
            </w:rPr>
            <w:t>fédéral</w:t>
          </w:r>
          <w:r w:rsidR="008C7A4D">
            <w:rPr>
              <w:rFonts w:cstheme="minorHAnsi"/>
              <w:sz w:val="23"/>
              <w:szCs w:val="23"/>
            </w:rPr>
            <w:t xml:space="preserve"> </w:t>
          </w:r>
          <w:r w:rsidR="00F84633">
            <w:rPr>
              <w:rFonts w:cstheme="minorHAnsi"/>
              <w:sz w:val="23"/>
              <w:szCs w:val="23"/>
            </w:rPr>
            <w:t xml:space="preserve">investit chaque année plus de 2 millliards d’euros dans le fonctionnement de la police, dont 1 milliard au profit du fonctionnement intégré. </w:t>
          </w:r>
          <w:r w:rsidRPr="00406EBF">
            <w:rPr>
              <w:rFonts w:cstheme="minorHAnsi"/>
              <w:sz w:val="23"/>
              <w:szCs w:val="23"/>
            </w:rPr>
            <w:t xml:space="preserve">C’est la </w:t>
          </w:r>
          <w:r w:rsidR="009A1167">
            <w:rPr>
              <w:rFonts w:cstheme="minorHAnsi"/>
              <w:sz w:val="23"/>
              <w:szCs w:val="23"/>
            </w:rPr>
            <w:t>p</w:t>
          </w:r>
          <w:r w:rsidRPr="00406EBF">
            <w:rPr>
              <w:rFonts w:cstheme="minorHAnsi"/>
              <w:sz w:val="23"/>
              <w:szCs w:val="23"/>
            </w:rPr>
            <w:t>olice fédérale qui fait l’objet de la présente évaluation.</w:t>
          </w:r>
        </w:p>
        <w:p w14:paraId="3C8674FF" w14:textId="77777777" w:rsidR="001B36AD" w:rsidRPr="00406EBF" w:rsidRDefault="001B36AD" w:rsidP="001B36AD">
          <w:pPr>
            <w:tabs>
              <w:tab w:val="left" w:pos="709"/>
            </w:tabs>
            <w:spacing w:line="240" w:lineRule="auto"/>
            <w:jc w:val="both"/>
            <w:rPr>
              <w:rFonts w:cstheme="minorHAnsi"/>
              <w:sz w:val="23"/>
              <w:szCs w:val="23"/>
            </w:rPr>
          </w:pPr>
        </w:p>
        <w:p w14:paraId="0D432A24" w14:textId="3A4EEBE4" w:rsidR="001B36AD" w:rsidRPr="00406EBF" w:rsidRDefault="001B36AD" w:rsidP="009E6AE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w:t>
          </w:r>
          <w:r w:rsidR="009A1167">
            <w:rPr>
              <w:rFonts w:cstheme="minorHAnsi"/>
              <w:sz w:val="23"/>
              <w:szCs w:val="23"/>
            </w:rPr>
            <w:t>p</w:t>
          </w:r>
          <w:r w:rsidRPr="00406EBF">
            <w:rPr>
              <w:rFonts w:cstheme="minorHAnsi"/>
              <w:sz w:val="23"/>
              <w:szCs w:val="23"/>
            </w:rPr>
            <w:t xml:space="preserve">olice fédérale relève de l’autorité du </w:t>
          </w:r>
          <w:r w:rsidR="009A1167">
            <w:rPr>
              <w:rFonts w:cstheme="minorHAnsi"/>
              <w:sz w:val="23"/>
              <w:szCs w:val="23"/>
            </w:rPr>
            <w:t>m</w:t>
          </w:r>
          <w:r w:rsidRPr="00406EBF">
            <w:rPr>
              <w:rFonts w:cstheme="minorHAnsi"/>
              <w:sz w:val="23"/>
              <w:szCs w:val="23"/>
            </w:rPr>
            <w:t xml:space="preserve">inistre de l’Intérieur pour sa gestion et pour l’exécution des missions de police administrative. Elle relève du </w:t>
          </w:r>
          <w:r w:rsidR="009A1167">
            <w:rPr>
              <w:rFonts w:cstheme="minorHAnsi"/>
              <w:sz w:val="23"/>
              <w:szCs w:val="23"/>
            </w:rPr>
            <w:t>m</w:t>
          </w:r>
          <w:r w:rsidRPr="00406EBF">
            <w:rPr>
              <w:rFonts w:cstheme="minorHAnsi"/>
              <w:sz w:val="23"/>
              <w:szCs w:val="23"/>
            </w:rPr>
            <w:t>inistre de la Justice pour ses missions de police judiciaire.</w:t>
          </w:r>
          <w:r w:rsidR="00F84633">
            <w:rPr>
              <w:rFonts w:cstheme="minorHAnsi"/>
              <w:sz w:val="23"/>
              <w:szCs w:val="23"/>
            </w:rPr>
            <w:t xml:space="preserve"> La notion d’indépendance opérationnelle n’</w:t>
          </w:r>
          <w:r w:rsidR="003E5338">
            <w:rPr>
              <w:rFonts w:cstheme="minorHAnsi"/>
              <w:sz w:val="23"/>
              <w:szCs w:val="23"/>
            </w:rPr>
            <w:t>est pas explicitement mentionnée dans la loi du 7 décembre 1998 organisant un service de police intégré (LPI)</w:t>
          </w:r>
          <w:r w:rsidR="00466285">
            <w:rPr>
              <w:rFonts w:cstheme="minorHAnsi"/>
              <w:sz w:val="23"/>
              <w:szCs w:val="23"/>
            </w:rPr>
            <w:t xml:space="preserve">. </w:t>
          </w:r>
          <w:r w:rsidR="00EF008D" w:rsidRPr="00406EBF">
            <w:rPr>
              <w:rFonts w:cstheme="minorHAnsi"/>
              <w:sz w:val="23"/>
              <w:szCs w:val="23"/>
            </w:rPr>
            <w:t xml:space="preserve"> </w:t>
          </w:r>
          <w:r w:rsidR="003E5338">
            <w:rPr>
              <w:rFonts w:cstheme="minorHAnsi"/>
              <w:sz w:val="23"/>
              <w:szCs w:val="23"/>
            </w:rPr>
            <w:t>La police fédérale</w:t>
          </w:r>
          <w:r w:rsidR="003E5338" w:rsidRPr="00406EBF">
            <w:rPr>
              <w:rFonts w:cstheme="minorHAnsi"/>
              <w:sz w:val="23"/>
              <w:szCs w:val="23"/>
            </w:rPr>
            <w:t xml:space="preserve"> </w:t>
          </w:r>
          <w:r w:rsidRPr="00406EBF">
            <w:rPr>
              <w:rFonts w:cstheme="minorHAnsi"/>
              <w:sz w:val="23"/>
              <w:szCs w:val="23"/>
            </w:rPr>
            <w:t xml:space="preserve">compte 12 145 </w:t>
          </w:r>
          <w:r w:rsidR="00EF008D" w:rsidRPr="00406EBF">
            <w:rPr>
              <w:rFonts w:cstheme="minorHAnsi"/>
              <w:sz w:val="23"/>
              <w:szCs w:val="23"/>
            </w:rPr>
            <w:t>employés,</w:t>
          </w:r>
          <w:r w:rsidRPr="00406EBF">
            <w:rPr>
              <w:rFonts w:cstheme="minorHAnsi"/>
              <w:sz w:val="23"/>
              <w:szCs w:val="23"/>
            </w:rPr>
            <w:t xml:space="preserve"> dont environ 2 500 collaborateurs non-policiers chargés de tâches administratives et logistiques</w:t>
          </w:r>
          <w:r w:rsidR="00EF008D" w:rsidRPr="00406EBF">
            <w:rPr>
              <w:rFonts w:cstheme="minorHAnsi"/>
              <w:sz w:val="23"/>
              <w:szCs w:val="23"/>
            </w:rPr>
            <w:t>. Elle</w:t>
          </w:r>
          <w:r w:rsidRPr="00406EBF">
            <w:rPr>
              <w:rFonts w:cstheme="minorHAnsi"/>
              <w:sz w:val="23"/>
              <w:szCs w:val="23"/>
            </w:rPr>
            <w:t xml:space="preserve"> est dirigée par un Commissaire général et est articulée </w:t>
          </w:r>
          <w:r w:rsidR="00EF008D" w:rsidRPr="00406EBF">
            <w:rPr>
              <w:rFonts w:cstheme="minorHAnsi"/>
              <w:sz w:val="23"/>
              <w:szCs w:val="23"/>
            </w:rPr>
            <w:t>autour de</w:t>
          </w:r>
          <w:r w:rsidRPr="00406EBF">
            <w:rPr>
              <w:rFonts w:cstheme="minorHAnsi"/>
              <w:sz w:val="23"/>
              <w:szCs w:val="23"/>
            </w:rPr>
            <w:t xml:space="preserve"> trois directions générales : deux directions générales opérationnelles - la direction générale de la police judiciaire et la direction générale de la police administrative - et la direction générale des ressources et de l’information</w:t>
          </w:r>
          <w:r w:rsidR="00EF008D" w:rsidRPr="00406EBF">
            <w:rPr>
              <w:rFonts w:cstheme="minorHAnsi"/>
              <w:sz w:val="23"/>
              <w:szCs w:val="23"/>
            </w:rPr>
            <w:t>,</w:t>
          </w:r>
          <w:r w:rsidRPr="00406EBF">
            <w:rPr>
              <w:rFonts w:cstheme="minorHAnsi"/>
              <w:sz w:val="23"/>
              <w:szCs w:val="23"/>
            </w:rPr>
            <w:t xml:space="preserve"> qui est une direction générale transversale.</w:t>
          </w:r>
        </w:p>
        <w:p w14:paraId="64B44FD6" w14:textId="77777777" w:rsidR="001B36AD" w:rsidRPr="00406EBF" w:rsidRDefault="001B36AD" w:rsidP="001B36AD">
          <w:pPr>
            <w:tabs>
              <w:tab w:val="left" w:pos="709"/>
            </w:tabs>
            <w:spacing w:line="240" w:lineRule="auto"/>
            <w:jc w:val="both"/>
            <w:rPr>
              <w:rFonts w:cstheme="minorHAnsi"/>
              <w:sz w:val="23"/>
              <w:szCs w:val="23"/>
            </w:rPr>
          </w:pPr>
        </w:p>
        <w:p w14:paraId="7467BDC0" w14:textId="77777777"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w:t>
          </w:r>
          <w:r w:rsidRPr="00406EBF">
            <w:rPr>
              <w:rFonts w:cstheme="minorHAnsi"/>
              <w:sz w:val="23"/>
              <w:szCs w:val="23"/>
              <w:u w:val="single"/>
            </w:rPr>
            <w:t>Commissaire général</w:t>
          </w:r>
          <w:r w:rsidRPr="00406EBF">
            <w:rPr>
              <w:rFonts w:cstheme="minorHAnsi"/>
              <w:sz w:val="23"/>
              <w:szCs w:val="23"/>
            </w:rPr>
            <w:t xml:space="preserve"> (CG) assure la direction générale et la coordination de l’ensemble. Il veille à garantir le fonctionnement intégré des deux niveaux de police et le respect, par la police fédérale, des principes de spécialité et de subsidiarité. La direction chargée de la coopération policière internationale au profit de l’ensemble de la police relève du Commissaire général</w:t>
          </w:r>
          <w:r w:rsidR="00EF008D" w:rsidRPr="00406EBF">
            <w:rPr>
              <w:rFonts w:cstheme="minorHAnsi"/>
              <w:sz w:val="23"/>
              <w:szCs w:val="23"/>
            </w:rPr>
            <w:t>, de même que</w:t>
          </w:r>
          <w:r w:rsidRPr="00406EBF">
            <w:rPr>
              <w:rFonts w:cstheme="minorHAnsi"/>
              <w:sz w:val="23"/>
              <w:szCs w:val="23"/>
            </w:rPr>
            <w:t xml:space="preserve"> 13 « directions de coordination déconcentrées » qui assurent une fonction de guichet d’entrée pour les zones de police qui souhaitent un appui de la police fédérale. Ces mêmes directions gèrent par ailleurs le « centre de communication et d’information » qui traite des appels d’urgence et assure aussi l’analyse des informations policières au profit des zones de polices et de la direction de la police judiciaire de leur arrondissement.</w:t>
          </w:r>
        </w:p>
        <w:p w14:paraId="4AE75600" w14:textId="77777777" w:rsidR="001B36AD" w:rsidRPr="00406EBF" w:rsidRDefault="001B36AD" w:rsidP="001B36AD">
          <w:pPr>
            <w:tabs>
              <w:tab w:val="left" w:pos="709"/>
            </w:tabs>
            <w:spacing w:line="240" w:lineRule="auto"/>
            <w:jc w:val="both"/>
            <w:rPr>
              <w:rFonts w:cstheme="minorHAnsi"/>
              <w:sz w:val="23"/>
              <w:szCs w:val="23"/>
            </w:rPr>
          </w:pPr>
        </w:p>
        <w:p w14:paraId="27DB2388" w14:textId="77777777"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u w:val="single"/>
            </w:rPr>
            <w:t>La direction générale de la police judiciaire</w:t>
          </w:r>
          <w:r w:rsidRPr="00406EBF">
            <w:rPr>
              <w:rFonts w:cstheme="minorHAnsi"/>
              <w:sz w:val="23"/>
              <w:szCs w:val="23"/>
            </w:rPr>
            <w:t xml:space="preserve"> (DGJ) est composée de services centraux et de directions de police judiciaire déconcentrées (14 pour l’ensemble du pays) chargées de la lutte contre la criminalité organisée ou supra-locale. Les unités spéciales d’intervention de la police fédérale font partie de cette direction générale.</w:t>
          </w:r>
        </w:p>
        <w:p w14:paraId="1CEED09B" w14:textId="77777777" w:rsidR="001B36AD" w:rsidRPr="00406EBF" w:rsidRDefault="001B36AD" w:rsidP="001B36AD">
          <w:pPr>
            <w:tabs>
              <w:tab w:val="left" w:pos="709"/>
            </w:tabs>
            <w:spacing w:line="240" w:lineRule="auto"/>
            <w:jc w:val="both"/>
            <w:rPr>
              <w:rFonts w:cstheme="minorHAnsi"/>
              <w:sz w:val="23"/>
              <w:szCs w:val="23"/>
            </w:rPr>
          </w:pPr>
        </w:p>
        <w:p w14:paraId="10C586A1" w14:textId="77777777"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w:t>
          </w:r>
          <w:r w:rsidRPr="00406EBF">
            <w:rPr>
              <w:rFonts w:cstheme="minorHAnsi"/>
              <w:sz w:val="23"/>
              <w:szCs w:val="23"/>
              <w:u w:val="single"/>
            </w:rPr>
            <w:t>direction générale de la police administrative</w:t>
          </w:r>
          <w:r w:rsidRPr="00406EBF">
            <w:rPr>
              <w:rFonts w:cstheme="minorHAnsi"/>
              <w:sz w:val="23"/>
              <w:szCs w:val="23"/>
            </w:rPr>
            <w:t xml:space="preserve"> (DGA) s’articule de même sur des services centraux et des directions déconcentrées chargé</w:t>
          </w:r>
          <w:r w:rsidR="00161CEE" w:rsidRPr="00406EBF">
            <w:rPr>
              <w:rFonts w:cstheme="minorHAnsi"/>
              <w:sz w:val="23"/>
              <w:szCs w:val="23"/>
            </w:rPr>
            <w:t>e</w:t>
          </w:r>
          <w:r w:rsidRPr="00406EBF">
            <w:rPr>
              <w:rFonts w:cstheme="minorHAnsi"/>
              <w:sz w:val="23"/>
              <w:szCs w:val="23"/>
            </w:rPr>
            <w:t>s des polices des voies de communication (polices de la route, aéronautique, de la navigation et des chemins de fer). Elle dispose également d’une direction de la sécurité publique et d’une direction chargée de missions de protection. Elle assure aussi l’appui canin et l’appui aérien au profit des deux niveaux de police.</w:t>
          </w:r>
        </w:p>
        <w:p w14:paraId="04CA8A6F" w14:textId="77777777" w:rsidR="001B36AD" w:rsidRPr="00406EBF" w:rsidRDefault="001B36AD" w:rsidP="001B36AD">
          <w:pPr>
            <w:tabs>
              <w:tab w:val="left" w:pos="709"/>
            </w:tabs>
            <w:spacing w:line="240" w:lineRule="auto"/>
            <w:jc w:val="both"/>
            <w:rPr>
              <w:rFonts w:cstheme="minorHAnsi"/>
              <w:sz w:val="23"/>
              <w:szCs w:val="23"/>
            </w:rPr>
          </w:pPr>
        </w:p>
        <w:p w14:paraId="692D83C9" w14:textId="77777777" w:rsidR="00635CB2" w:rsidRPr="00406EBF" w:rsidRDefault="001B36AD" w:rsidP="003E03B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w:t>
          </w:r>
          <w:r w:rsidRPr="00406EBF">
            <w:rPr>
              <w:rFonts w:cstheme="minorHAnsi"/>
              <w:sz w:val="23"/>
              <w:szCs w:val="23"/>
              <w:u w:val="single"/>
            </w:rPr>
            <w:t>direction générale de la gestion des ressources et de l’information</w:t>
          </w:r>
          <w:r w:rsidRPr="00406EBF">
            <w:rPr>
              <w:rFonts w:cstheme="minorHAnsi"/>
              <w:sz w:val="23"/>
              <w:szCs w:val="23"/>
            </w:rPr>
            <w:t xml:space="preserve"> (DGR) transversale traite des matières personnelles, logistiques, financières et ICT.  Elle est notamment chargée de la </w:t>
          </w:r>
          <w:r w:rsidRPr="00406EBF">
            <w:rPr>
              <w:rFonts w:cstheme="minorHAnsi"/>
              <w:sz w:val="23"/>
              <w:szCs w:val="23"/>
            </w:rPr>
            <w:lastRenderedPageBreak/>
            <w:t>gestion de la banque nationale générale de données policières accessible à l’ensemble des policiers en fonction de leur besoin opérationnel démontré d’avoir accès à certaines informations.</w:t>
          </w:r>
        </w:p>
        <w:p w14:paraId="1225B075" w14:textId="77777777" w:rsidR="00B80FC9" w:rsidRPr="00406EBF" w:rsidRDefault="00B80FC9" w:rsidP="001878CC">
          <w:pPr>
            <w:tabs>
              <w:tab w:val="left" w:pos="709"/>
            </w:tabs>
            <w:spacing w:line="240" w:lineRule="auto"/>
            <w:jc w:val="both"/>
            <w:rPr>
              <w:rFonts w:cstheme="minorHAnsi"/>
              <w:sz w:val="23"/>
              <w:szCs w:val="23"/>
            </w:rPr>
          </w:pPr>
        </w:p>
        <w:tbl>
          <w:tblPr>
            <w:tblW w:w="9140" w:type="dxa"/>
            <w:tblInd w:w="70" w:type="dxa"/>
            <w:tblCellMar>
              <w:left w:w="70" w:type="dxa"/>
              <w:right w:w="70" w:type="dxa"/>
            </w:tblCellMar>
            <w:tblLook w:val="04A0" w:firstRow="1" w:lastRow="0" w:firstColumn="1" w:lastColumn="0" w:noHBand="0" w:noVBand="1"/>
          </w:tblPr>
          <w:tblGrid>
            <w:gridCol w:w="2060"/>
            <w:gridCol w:w="2217"/>
            <w:gridCol w:w="1125"/>
            <w:gridCol w:w="1267"/>
            <w:gridCol w:w="1191"/>
            <w:gridCol w:w="1280"/>
          </w:tblGrid>
          <w:tr w:rsidR="003E03B7" w:rsidRPr="00406EBF" w14:paraId="064D331B" w14:textId="77777777" w:rsidTr="002F372B">
            <w:trPr>
              <w:trHeight w:val="260"/>
            </w:trPr>
            <w:tc>
              <w:tcPr>
                <w:tcW w:w="7860" w:type="dxa"/>
                <w:gridSpan w:val="5"/>
                <w:tcBorders>
                  <w:top w:val="nil"/>
                  <w:left w:val="nil"/>
                  <w:bottom w:val="nil"/>
                  <w:right w:val="nil"/>
                </w:tcBorders>
                <w:shd w:val="clear" w:color="000000" w:fill="FFFFFF"/>
                <w:noWrap/>
                <w:vAlign w:val="bottom"/>
                <w:hideMark/>
              </w:tcPr>
              <w:p w14:paraId="4AEF2456" w14:textId="77777777" w:rsidR="003E03B7" w:rsidRPr="00406EBF" w:rsidRDefault="003E03B7" w:rsidP="003E03B7">
                <w:pPr>
                  <w:rPr>
                    <w:rFonts w:cstheme="minorHAnsi"/>
                    <w:b/>
                    <w:bCs/>
                    <w:color w:val="000000"/>
                    <w:sz w:val="21"/>
                    <w:szCs w:val="21"/>
                    <w:lang w:eastAsia="nl-BE"/>
                  </w:rPr>
                </w:pPr>
                <w:r w:rsidRPr="00406EBF">
                  <w:rPr>
                    <w:rFonts w:cstheme="minorHAnsi"/>
                    <w:b/>
                    <w:bCs/>
                    <w:color w:val="000000"/>
                    <w:sz w:val="21"/>
                    <w:szCs w:val="21"/>
                  </w:rPr>
                  <w:t>Effectif de la Police Fédérale de Belgique au sens strict au 31/12/2018</w:t>
                </w:r>
              </w:p>
            </w:tc>
            <w:tc>
              <w:tcPr>
                <w:tcW w:w="1280" w:type="dxa"/>
                <w:tcBorders>
                  <w:top w:val="nil"/>
                  <w:left w:val="nil"/>
                  <w:bottom w:val="nil"/>
                  <w:right w:val="nil"/>
                </w:tcBorders>
                <w:shd w:val="clear" w:color="000000" w:fill="FFFFFF"/>
                <w:noWrap/>
                <w:vAlign w:val="bottom"/>
                <w:hideMark/>
              </w:tcPr>
              <w:p w14:paraId="5351DB0C" w14:textId="77777777" w:rsidR="003E03B7" w:rsidRPr="00406EBF" w:rsidRDefault="003E03B7" w:rsidP="002F372B">
                <w:pPr>
                  <w:jc w:val="center"/>
                  <w:rPr>
                    <w:rFonts w:cstheme="minorHAnsi"/>
                    <w:color w:val="000000"/>
                    <w:sz w:val="21"/>
                    <w:szCs w:val="21"/>
                  </w:rPr>
                </w:pPr>
                <w:r w:rsidRPr="00406EBF">
                  <w:rPr>
                    <w:rFonts w:cstheme="minorHAnsi"/>
                    <w:color w:val="000000"/>
                    <w:sz w:val="21"/>
                    <w:szCs w:val="21"/>
                  </w:rPr>
                  <w:t> </w:t>
                </w:r>
              </w:p>
            </w:tc>
          </w:tr>
          <w:tr w:rsidR="003E03B7" w:rsidRPr="00406EBF" w14:paraId="40795DBE" w14:textId="77777777" w:rsidTr="002F372B">
            <w:trPr>
              <w:trHeight w:val="260"/>
            </w:trPr>
            <w:tc>
              <w:tcPr>
                <w:tcW w:w="2060" w:type="dxa"/>
                <w:tcBorders>
                  <w:top w:val="nil"/>
                  <w:left w:val="nil"/>
                  <w:bottom w:val="nil"/>
                  <w:right w:val="nil"/>
                </w:tcBorders>
                <w:shd w:val="clear" w:color="000000" w:fill="FFFFFF"/>
                <w:noWrap/>
                <w:vAlign w:val="bottom"/>
                <w:hideMark/>
              </w:tcPr>
              <w:p w14:paraId="5AAE3AD2"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nil"/>
                </w:tcBorders>
                <w:shd w:val="clear" w:color="000000" w:fill="FFFFFF"/>
                <w:noWrap/>
                <w:vAlign w:val="bottom"/>
                <w:hideMark/>
              </w:tcPr>
              <w:p w14:paraId="691363FA"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nil"/>
                  <w:right w:val="nil"/>
                </w:tcBorders>
                <w:shd w:val="clear" w:color="000000" w:fill="FFFFFF"/>
                <w:noWrap/>
                <w:vAlign w:val="bottom"/>
                <w:hideMark/>
              </w:tcPr>
              <w:p w14:paraId="27EF57EC"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1267" w:type="dxa"/>
                <w:tcBorders>
                  <w:top w:val="nil"/>
                  <w:left w:val="nil"/>
                  <w:bottom w:val="nil"/>
                  <w:right w:val="nil"/>
                </w:tcBorders>
                <w:shd w:val="clear" w:color="000000" w:fill="FFFFFF"/>
                <w:noWrap/>
                <w:vAlign w:val="bottom"/>
                <w:hideMark/>
              </w:tcPr>
              <w:p w14:paraId="240CB401"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 </w:t>
                </w:r>
              </w:p>
            </w:tc>
            <w:tc>
              <w:tcPr>
                <w:tcW w:w="1191" w:type="dxa"/>
                <w:tcBorders>
                  <w:top w:val="nil"/>
                  <w:left w:val="nil"/>
                  <w:bottom w:val="nil"/>
                  <w:right w:val="nil"/>
                </w:tcBorders>
                <w:shd w:val="clear" w:color="000000" w:fill="FFFFFF"/>
                <w:noWrap/>
                <w:vAlign w:val="bottom"/>
                <w:hideMark/>
              </w:tcPr>
              <w:p w14:paraId="166257D8"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 </w:t>
                </w:r>
              </w:p>
            </w:tc>
            <w:tc>
              <w:tcPr>
                <w:tcW w:w="1280" w:type="dxa"/>
                <w:tcBorders>
                  <w:top w:val="nil"/>
                  <w:left w:val="nil"/>
                  <w:bottom w:val="nil"/>
                  <w:right w:val="nil"/>
                </w:tcBorders>
                <w:shd w:val="clear" w:color="000000" w:fill="FFFFFF"/>
                <w:noWrap/>
                <w:vAlign w:val="bottom"/>
                <w:hideMark/>
              </w:tcPr>
              <w:p w14:paraId="55D0A5E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 </w:t>
                </w:r>
              </w:p>
            </w:tc>
          </w:tr>
          <w:tr w:rsidR="003E03B7" w:rsidRPr="00406EBF" w14:paraId="74AB8C8F" w14:textId="77777777" w:rsidTr="002F372B">
            <w:trPr>
              <w:trHeight w:val="260"/>
            </w:trPr>
            <w:tc>
              <w:tcPr>
                <w:tcW w:w="2060" w:type="dxa"/>
                <w:tcBorders>
                  <w:top w:val="nil"/>
                  <w:left w:val="nil"/>
                  <w:bottom w:val="nil"/>
                  <w:right w:val="nil"/>
                </w:tcBorders>
                <w:shd w:val="clear" w:color="000000" w:fill="FFFFFF"/>
                <w:noWrap/>
                <w:vAlign w:val="bottom"/>
                <w:hideMark/>
              </w:tcPr>
              <w:p w14:paraId="0B0E1F2A"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nil"/>
                </w:tcBorders>
                <w:shd w:val="clear" w:color="000000" w:fill="FFFFFF"/>
                <w:noWrap/>
                <w:vAlign w:val="bottom"/>
                <w:hideMark/>
              </w:tcPr>
              <w:p w14:paraId="37CE3944"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nil"/>
                  <w:right w:val="nil"/>
                </w:tcBorders>
                <w:shd w:val="clear" w:color="000000" w:fill="FFFFFF"/>
                <w:noWrap/>
                <w:vAlign w:val="bottom"/>
                <w:hideMark/>
              </w:tcPr>
              <w:p w14:paraId="7D77C994"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458" w:type="dxa"/>
                <w:gridSpan w:val="2"/>
                <w:tcBorders>
                  <w:top w:val="nil"/>
                  <w:left w:val="nil"/>
                  <w:bottom w:val="nil"/>
                  <w:right w:val="nil"/>
                </w:tcBorders>
                <w:shd w:val="clear" w:color="305496" w:fill="FFFFFF"/>
                <w:noWrap/>
                <w:vAlign w:val="bottom"/>
                <w:hideMark/>
              </w:tcPr>
              <w:p w14:paraId="777D37D6" w14:textId="77777777" w:rsidR="003E03B7" w:rsidRPr="00406EBF" w:rsidRDefault="003E03B7" w:rsidP="002F372B">
                <w:pPr>
                  <w:jc w:val="center"/>
                  <w:rPr>
                    <w:rFonts w:cstheme="minorHAnsi"/>
                    <w:b/>
                    <w:bCs/>
                    <w:color w:val="FFFFFF"/>
                    <w:sz w:val="19"/>
                    <w:szCs w:val="19"/>
                    <w:lang w:val="fr-BE"/>
                  </w:rPr>
                </w:pPr>
              </w:p>
            </w:tc>
            <w:tc>
              <w:tcPr>
                <w:tcW w:w="1280" w:type="dxa"/>
                <w:tcBorders>
                  <w:top w:val="nil"/>
                  <w:left w:val="nil"/>
                  <w:bottom w:val="nil"/>
                  <w:right w:val="nil"/>
                </w:tcBorders>
                <w:shd w:val="clear" w:color="000000" w:fill="FFFFFF"/>
                <w:noWrap/>
                <w:vAlign w:val="bottom"/>
                <w:hideMark/>
              </w:tcPr>
              <w:p w14:paraId="19D3FD5D" w14:textId="77777777" w:rsidR="003E03B7" w:rsidRPr="00406EBF" w:rsidRDefault="003E03B7" w:rsidP="002F372B">
                <w:pPr>
                  <w:jc w:val="center"/>
                  <w:rPr>
                    <w:rFonts w:cstheme="minorHAnsi"/>
                    <w:color w:val="000000"/>
                    <w:sz w:val="19"/>
                    <w:szCs w:val="19"/>
                    <w:lang w:val="fr-BE"/>
                  </w:rPr>
                </w:pPr>
                <w:r w:rsidRPr="00406EBF">
                  <w:rPr>
                    <w:rFonts w:cstheme="minorHAnsi"/>
                    <w:color w:val="000000"/>
                    <w:sz w:val="19"/>
                    <w:szCs w:val="19"/>
                    <w:lang w:val="fr-BE"/>
                  </w:rPr>
                  <w:t> </w:t>
                </w:r>
              </w:p>
            </w:tc>
          </w:tr>
          <w:tr w:rsidR="003E03B7" w:rsidRPr="00406EBF" w14:paraId="5904408E" w14:textId="77777777" w:rsidTr="002F372B">
            <w:trPr>
              <w:trHeight w:val="260"/>
            </w:trPr>
            <w:tc>
              <w:tcPr>
                <w:tcW w:w="2060" w:type="dxa"/>
                <w:tcBorders>
                  <w:top w:val="single" w:sz="4" w:space="0" w:color="auto"/>
                  <w:left w:val="single" w:sz="4" w:space="0" w:color="auto"/>
                  <w:bottom w:val="single" w:sz="4" w:space="0" w:color="auto"/>
                  <w:right w:val="single" w:sz="4" w:space="0" w:color="auto"/>
                </w:tcBorders>
                <w:shd w:val="clear" w:color="305496" w:fill="305496"/>
                <w:noWrap/>
                <w:vAlign w:val="bottom"/>
                <w:hideMark/>
              </w:tcPr>
              <w:p w14:paraId="743C377E"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DG</w:t>
                </w:r>
              </w:p>
            </w:tc>
            <w:tc>
              <w:tcPr>
                <w:tcW w:w="2217" w:type="dxa"/>
                <w:tcBorders>
                  <w:top w:val="single" w:sz="4" w:space="0" w:color="auto"/>
                  <w:left w:val="nil"/>
                  <w:bottom w:val="single" w:sz="4" w:space="0" w:color="auto"/>
                  <w:right w:val="single" w:sz="4" w:space="0" w:color="auto"/>
                </w:tcBorders>
                <w:shd w:val="clear" w:color="305496" w:fill="305496"/>
                <w:noWrap/>
                <w:vAlign w:val="bottom"/>
                <w:hideMark/>
              </w:tcPr>
              <w:p w14:paraId="4529CC31"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Ops/Calog</w:t>
                </w:r>
              </w:p>
            </w:tc>
            <w:tc>
              <w:tcPr>
                <w:tcW w:w="1125" w:type="dxa"/>
                <w:tcBorders>
                  <w:top w:val="single" w:sz="4" w:space="0" w:color="auto"/>
                  <w:left w:val="nil"/>
                  <w:bottom w:val="single" w:sz="4" w:space="0" w:color="auto"/>
                  <w:right w:val="single" w:sz="4" w:space="0" w:color="auto"/>
                </w:tcBorders>
                <w:shd w:val="clear" w:color="305496" w:fill="305496"/>
                <w:noWrap/>
                <w:vAlign w:val="bottom"/>
                <w:hideMark/>
              </w:tcPr>
              <w:p w14:paraId="6F8B5189"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Niveau</w:t>
                </w:r>
              </w:p>
            </w:tc>
            <w:tc>
              <w:tcPr>
                <w:tcW w:w="1267" w:type="dxa"/>
                <w:tcBorders>
                  <w:top w:val="nil"/>
                  <w:left w:val="nil"/>
                  <w:bottom w:val="single" w:sz="4" w:space="0" w:color="auto"/>
                  <w:right w:val="single" w:sz="4" w:space="0" w:color="auto"/>
                </w:tcBorders>
                <w:shd w:val="clear" w:color="305496" w:fill="305496"/>
                <w:noWrap/>
                <w:vAlign w:val="center"/>
                <w:hideMark/>
              </w:tcPr>
              <w:p w14:paraId="4EC3D786"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Homme</w:t>
                </w:r>
                <w:r w:rsidR="00913074" w:rsidRPr="00406EBF">
                  <w:rPr>
                    <w:rFonts w:cstheme="minorHAnsi"/>
                    <w:b/>
                    <w:bCs/>
                    <w:color w:val="FFFFFF"/>
                    <w:sz w:val="19"/>
                    <w:szCs w:val="19"/>
                  </w:rPr>
                  <w:t>s</w:t>
                </w:r>
              </w:p>
            </w:tc>
            <w:tc>
              <w:tcPr>
                <w:tcW w:w="1191" w:type="dxa"/>
                <w:tcBorders>
                  <w:top w:val="nil"/>
                  <w:left w:val="nil"/>
                  <w:bottom w:val="single" w:sz="4" w:space="0" w:color="auto"/>
                  <w:right w:val="single" w:sz="4" w:space="0" w:color="auto"/>
                </w:tcBorders>
                <w:shd w:val="clear" w:color="305496" w:fill="305496"/>
                <w:noWrap/>
                <w:vAlign w:val="center"/>
                <w:hideMark/>
              </w:tcPr>
              <w:p w14:paraId="4A30191A"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Femme</w:t>
                </w:r>
                <w:r w:rsidR="00913074" w:rsidRPr="00406EBF">
                  <w:rPr>
                    <w:rFonts w:cstheme="minorHAnsi"/>
                    <w:b/>
                    <w:bCs/>
                    <w:color w:val="FFFFFF"/>
                    <w:sz w:val="19"/>
                    <w:szCs w:val="19"/>
                  </w:rPr>
                  <w:t>s</w:t>
                </w:r>
              </w:p>
            </w:tc>
            <w:tc>
              <w:tcPr>
                <w:tcW w:w="1280" w:type="dxa"/>
                <w:tcBorders>
                  <w:top w:val="single" w:sz="4" w:space="0" w:color="auto"/>
                  <w:left w:val="nil"/>
                  <w:bottom w:val="single" w:sz="4" w:space="0" w:color="auto"/>
                  <w:right w:val="single" w:sz="4" w:space="0" w:color="auto"/>
                </w:tcBorders>
                <w:shd w:val="clear" w:color="305496" w:fill="305496"/>
                <w:noWrap/>
                <w:vAlign w:val="center"/>
                <w:hideMark/>
              </w:tcPr>
              <w:p w14:paraId="323FEA17"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Total général</w:t>
                </w:r>
              </w:p>
            </w:tc>
          </w:tr>
          <w:tr w:rsidR="003E03B7" w:rsidRPr="00406EBF" w14:paraId="39471581" w14:textId="77777777" w:rsidTr="002F372B">
            <w:trPr>
              <w:trHeight w:val="260"/>
            </w:trPr>
            <w:tc>
              <w:tcPr>
                <w:tcW w:w="2060" w:type="dxa"/>
                <w:tcBorders>
                  <w:top w:val="single" w:sz="4" w:space="0" w:color="8EA9DB"/>
                  <w:left w:val="single" w:sz="4" w:space="0" w:color="auto"/>
                  <w:bottom w:val="single" w:sz="4" w:space="0" w:color="auto"/>
                  <w:right w:val="single" w:sz="4" w:space="0" w:color="auto"/>
                </w:tcBorders>
                <w:shd w:val="clear" w:color="8EA9DB" w:fill="C65911"/>
                <w:noWrap/>
                <w:vAlign w:val="bottom"/>
                <w:hideMark/>
              </w:tcPr>
              <w:p w14:paraId="132D7D60"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CG</w:t>
                </w:r>
              </w:p>
            </w:tc>
            <w:tc>
              <w:tcPr>
                <w:tcW w:w="2217" w:type="dxa"/>
                <w:tcBorders>
                  <w:top w:val="nil"/>
                  <w:left w:val="nil"/>
                  <w:bottom w:val="single" w:sz="4" w:space="0" w:color="auto"/>
                  <w:right w:val="single" w:sz="4" w:space="0" w:color="auto"/>
                </w:tcBorders>
                <w:shd w:val="clear" w:color="000000" w:fill="C65911"/>
                <w:noWrap/>
                <w:vAlign w:val="bottom"/>
                <w:hideMark/>
              </w:tcPr>
              <w:p w14:paraId="532F9408"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634ECDAC" w14:textId="77777777" w:rsidR="003E03B7" w:rsidRPr="00406EBF" w:rsidRDefault="003E03B7" w:rsidP="002F372B">
                <w:pPr>
                  <w:rPr>
                    <w:rFonts w:cstheme="minorHAnsi"/>
                    <w:color w:val="000000"/>
                    <w:sz w:val="19"/>
                    <w:szCs w:val="19"/>
                  </w:rPr>
                </w:pPr>
                <w:r w:rsidRPr="00406EBF">
                  <w:rPr>
                    <w:rFonts w:cstheme="minorHAnsi"/>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6135265C"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60</w:t>
                </w:r>
              </w:p>
            </w:tc>
            <w:tc>
              <w:tcPr>
                <w:tcW w:w="1191" w:type="dxa"/>
                <w:tcBorders>
                  <w:top w:val="nil"/>
                  <w:left w:val="nil"/>
                  <w:bottom w:val="single" w:sz="4" w:space="0" w:color="auto"/>
                  <w:right w:val="single" w:sz="4" w:space="0" w:color="auto"/>
                </w:tcBorders>
                <w:shd w:val="clear" w:color="auto" w:fill="auto"/>
                <w:noWrap/>
                <w:vAlign w:val="bottom"/>
                <w:hideMark/>
              </w:tcPr>
              <w:p w14:paraId="4F0D8052"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119</w:t>
                </w:r>
              </w:p>
            </w:tc>
            <w:tc>
              <w:tcPr>
                <w:tcW w:w="1280" w:type="dxa"/>
                <w:tcBorders>
                  <w:top w:val="nil"/>
                  <w:left w:val="nil"/>
                  <w:bottom w:val="single" w:sz="4" w:space="0" w:color="auto"/>
                  <w:right w:val="single" w:sz="4" w:space="0" w:color="auto"/>
                </w:tcBorders>
                <w:shd w:val="clear" w:color="305496" w:fill="305496"/>
                <w:noWrap/>
                <w:vAlign w:val="center"/>
                <w:hideMark/>
              </w:tcPr>
              <w:p w14:paraId="5400AF04"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179</w:t>
                </w:r>
              </w:p>
            </w:tc>
          </w:tr>
          <w:tr w:rsidR="003E03B7" w:rsidRPr="00406EBF" w14:paraId="25A2F5F3"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7710C2A9"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908D490"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(Civils)</w:t>
                </w:r>
              </w:p>
            </w:tc>
            <w:tc>
              <w:tcPr>
                <w:tcW w:w="1125" w:type="dxa"/>
                <w:tcBorders>
                  <w:top w:val="nil"/>
                  <w:left w:val="nil"/>
                  <w:bottom w:val="single" w:sz="4" w:space="0" w:color="auto"/>
                  <w:right w:val="single" w:sz="4" w:space="0" w:color="auto"/>
                </w:tcBorders>
                <w:shd w:val="clear" w:color="auto" w:fill="auto"/>
                <w:noWrap/>
                <w:vAlign w:val="bottom"/>
                <w:hideMark/>
              </w:tcPr>
              <w:p w14:paraId="42CF8C3A" w14:textId="77777777" w:rsidR="003E03B7" w:rsidRPr="00406EBF" w:rsidRDefault="003E03B7" w:rsidP="002F372B">
                <w:pPr>
                  <w:rPr>
                    <w:rFonts w:cstheme="minorHAnsi"/>
                    <w:color w:val="000000"/>
                    <w:sz w:val="19"/>
                    <w:szCs w:val="19"/>
                  </w:rPr>
                </w:pPr>
                <w:r w:rsidRPr="00406EBF">
                  <w:rPr>
                    <w:rFonts w:cstheme="minorHAnsi"/>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2F4366D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111</w:t>
                </w:r>
              </w:p>
            </w:tc>
            <w:tc>
              <w:tcPr>
                <w:tcW w:w="1191" w:type="dxa"/>
                <w:tcBorders>
                  <w:top w:val="nil"/>
                  <w:left w:val="nil"/>
                  <w:bottom w:val="single" w:sz="4" w:space="0" w:color="auto"/>
                  <w:right w:val="single" w:sz="4" w:space="0" w:color="auto"/>
                </w:tcBorders>
                <w:shd w:val="clear" w:color="auto" w:fill="auto"/>
                <w:noWrap/>
                <w:vAlign w:val="bottom"/>
                <w:hideMark/>
              </w:tcPr>
              <w:p w14:paraId="47CCEA72"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154</w:t>
                </w:r>
              </w:p>
            </w:tc>
            <w:tc>
              <w:tcPr>
                <w:tcW w:w="1280" w:type="dxa"/>
                <w:tcBorders>
                  <w:top w:val="nil"/>
                  <w:left w:val="nil"/>
                  <w:bottom w:val="single" w:sz="4" w:space="0" w:color="auto"/>
                  <w:right w:val="single" w:sz="4" w:space="0" w:color="auto"/>
                </w:tcBorders>
                <w:shd w:val="clear" w:color="305496" w:fill="305496"/>
                <w:noWrap/>
                <w:vAlign w:val="center"/>
                <w:hideMark/>
              </w:tcPr>
              <w:p w14:paraId="1B4AF4ED"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265</w:t>
                </w:r>
              </w:p>
            </w:tc>
          </w:tr>
          <w:tr w:rsidR="003E03B7" w:rsidRPr="00406EBF" w14:paraId="460990F9"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77C23A8C"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714D13CD"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4FDA4EC" w14:textId="77777777" w:rsidR="003E03B7" w:rsidRPr="00406EBF" w:rsidRDefault="003E03B7" w:rsidP="002F372B">
                <w:pPr>
                  <w:rPr>
                    <w:rFonts w:cstheme="minorHAnsi"/>
                    <w:color w:val="000000"/>
                    <w:sz w:val="19"/>
                    <w:szCs w:val="19"/>
                  </w:rPr>
                </w:pPr>
                <w:r w:rsidRPr="00406EBF">
                  <w:rPr>
                    <w:rFonts w:cstheme="minorHAnsi"/>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01ACB88C"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138</w:t>
                </w:r>
              </w:p>
            </w:tc>
            <w:tc>
              <w:tcPr>
                <w:tcW w:w="1191" w:type="dxa"/>
                <w:tcBorders>
                  <w:top w:val="nil"/>
                  <w:left w:val="nil"/>
                  <w:bottom w:val="single" w:sz="4" w:space="0" w:color="auto"/>
                  <w:right w:val="single" w:sz="4" w:space="0" w:color="auto"/>
                </w:tcBorders>
                <w:shd w:val="clear" w:color="auto" w:fill="auto"/>
                <w:noWrap/>
                <w:vAlign w:val="bottom"/>
                <w:hideMark/>
              </w:tcPr>
              <w:p w14:paraId="5A3078EC"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219</w:t>
                </w:r>
              </w:p>
            </w:tc>
            <w:tc>
              <w:tcPr>
                <w:tcW w:w="1280" w:type="dxa"/>
                <w:tcBorders>
                  <w:top w:val="nil"/>
                  <w:left w:val="nil"/>
                  <w:bottom w:val="single" w:sz="4" w:space="0" w:color="auto"/>
                  <w:right w:val="single" w:sz="4" w:space="0" w:color="auto"/>
                </w:tcBorders>
                <w:shd w:val="clear" w:color="305496" w:fill="305496"/>
                <w:noWrap/>
                <w:vAlign w:val="center"/>
                <w:hideMark/>
              </w:tcPr>
              <w:p w14:paraId="109BDA12"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357</w:t>
                </w:r>
              </w:p>
            </w:tc>
          </w:tr>
          <w:tr w:rsidR="003E03B7" w:rsidRPr="00406EBF" w14:paraId="080F0E44"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780B6F47"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69B8FA4A"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866E0B1" w14:textId="77777777" w:rsidR="003E03B7" w:rsidRPr="00406EBF" w:rsidRDefault="003E03B7" w:rsidP="002F372B">
                <w:pPr>
                  <w:rPr>
                    <w:rFonts w:cstheme="minorHAnsi"/>
                    <w:color w:val="000000"/>
                    <w:sz w:val="19"/>
                    <w:szCs w:val="19"/>
                  </w:rPr>
                </w:pPr>
                <w:r w:rsidRPr="00406EBF">
                  <w:rPr>
                    <w:rFonts w:cstheme="minorHAnsi"/>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1DC6D12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92</w:t>
                </w:r>
              </w:p>
            </w:tc>
            <w:tc>
              <w:tcPr>
                <w:tcW w:w="1191" w:type="dxa"/>
                <w:tcBorders>
                  <w:top w:val="nil"/>
                  <w:left w:val="nil"/>
                  <w:bottom w:val="single" w:sz="4" w:space="0" w:color="auto"/>
                  <w:right w:val="single" w:sz="4" w:space="0" w:color="auto"/>
                </w:tcBorders>
                <w:shd w:val="clear" w:color="auto" w:fill="auto"/>
                <w:noWrap/>
                <w:vAlign w:val="bottom"/>
                <w:hideMark/>
              </w:tcPr>
              <w:p w14:paraId="6F52798A"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54</w:t>
                </w:r>
              </w:p>
            </w:tc>
            <w:tc>
              <w:tcPr>
                <w:tcW w:w="1280" w:type="dxa"/>
                <w:tcBorders>
                  <w:top w:val="nil"/>
                  <w:left w:val="nil"/>
                  <w:bottom w:val="single" w:sz="4" w:space="0" w:color="auto"/>
                  <w:right w:val="single" w:sz="4" w:space="0" w:color="auto"/>
                </w:tcBorders>
                <w:shd w:val="clear" w:color="305496" w:fill="305496"/>
                <w:noWrap/>
                <w:vAlign w:val="center"/>
                <w:hideMark/>
              </w:tcPr>
              <w:p w14:paraId="4A0DA210"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146</w:t>
                </w:r>
              </w:p>
            </w:tc>
          </w:tr>
          <w:tr w:rsidR="003E03B7" w:rsidRPr="00406EBF" w14:paraId="2D4924CB"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44A300FF"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C65911"/>
                <w:noWrap/>
                <w:vAlign w:val="bottom"/>
                <w:hideMark/>
              </w:tcPr>
              <w:p w14:paraId="3C6A1C9D"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4DD8950A" w14:textId="77777777" w:rsidR="003E03B7" w:rsidRPr="00406EBF" w:rsidRDefault="003E03B7" w:rsidP="002F372B">
                <w:pPr>
                  <w:rPr>
                    <w:rFonts w:cstheme="minorHAnsi"/>
                    <w:color w:val="000000"/>
                    <w:sz w:val="19"/>
                    <w:szCs w:val="19"/>
                  </w:rPr>
                </w:pPr>
                <w:r w:rsidRPr="00406EBF">
                  <w:rPr>
                    <w:rFonts w:cstheme="minorHAnsi"/>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08DA90F4"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57</w:t>
                </w:r>
              </w:p>
            </w:tc>
            <w:tc>
              <w:tcPr>
                <w:tcW w:w="1191" w:type="dxa"/>
                <w:tcBorders>
                  <w:top w:val="nil"/>
                  <w:left w:val="nil"/>
                  <w:bottom w:val="single" w:sz="4" w:space="0" w:color="auto"/>
                  <w:right w:val="single" w:sz="4" w:space="0" w:color="auto"/>
                </w:tcBorders>
                <w:shd w:val="clear" w:color="auto" w:fill="auto"/>
                <w:noWrap/>
                <w:vAlign w:val="bottom"/>
                <w:hideMark/>
              </w:tcPr>
              <w:p w14:paraId="43F79ED5"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6</w:t>
                </w:r>
              </w:p>
            </w:tc>
            <w:tc>
              <w:tcPr>
                <w:tcW w:w="1280" w:type="dxa"/>
                <w:tcBorders>
                  <w:top w:val="nil"/>
                  <w:left w:val="nil"/>
                  <w:bottom w:val="single" w:sz="4" w:space="0" w:color="auto"/>
                  <w:right w:val="single" w:sz="4" w:space="0" w:color="auto"/>
                </w:tcBorders>
                <w:shd w:val="clear" w:color="305496" w:fill="305496"/>
                <w:noWrap/>
                <w:vAlign w:val="center"/>
                <w:hideMark/>
              </w:tcPr>
              <w:p w14:paraId="0D952215"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63</w:t>
                </w:r>
              </w:p>
            </w:tc>
          </w:tr>
          <w:tr w:rsidR="003E03B7" w:rsidRPr="00406EBF" w14:paraId="0784AF50"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6A155D2E"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50A49AF5"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w:t>
                </w:r>
                <w:r w:rsidRPr="00406EBF">
                  <w:rPr>
                    <w:rFonts w:cstheme="minorHAnsi"/>
                    <w:b/>
                    <w:bCs/>
                    <w:color w:val="000000"/>
                    <w:sz w:val="19"/>
                    <w:szCs w:val="19"/>
                    <w:lang w:val="fr-BE"/>
                  </w:rPr>
                  <w:t>Opérationnels</w:t>
                </w:r>
                <w:r w:rsidRPr="00406EBF">
                  <w:rPr>
                    <w:rFonts w:cstheme="minorHAnsi"/>
                    <w:b/>
                    <w:bCs/>
                    <w:color w:val="000000"/>
                    <w:sz w:val="19"/>
                    <w:szCs w:val="19"/>
                  </w:rPr>
                  <w:t xml:space="preserve">) </w:t>
                </w:r>
              </w:p>
            </w:tc>
            <w:tc>
              <w:tcPr>
                <w:tcW w:w="1125" w:type="dxa"/>
                <w:tcBorders>
                  <w:top w:val="nil"/>
                  <w:left w:val="nil"/>
                  <w:bottom w:val="single" w:sz="4" w:space="0" w:color="auto"/>
                  <w:right w:val="single" w:sz="4" w:space="0" w:color="auto"/>
                </w:tcBorders>
                <w:shd w:val="clear" w:color="auto" w:fill="auto"/>
                <w:noWrap/>
                <w:vAlign w:val="bottom"/>
                <w:hideMark/>
              </w:tcPr>
              <w:p w14:paraId="55D97C66" w14:textId="77777777" w:rsidR="003E03B7" w:rsidRPr="00406EBF" w:rsidRDefault="003E03B7" w:rsidP="002F372B">
                <w:pPr>
                  <w:rPr>
                    <w:rFonts w:cstheme="minorHAnsi"/>
                    <w:color w:val="000000"/>
                    <w:sz w:val="19"/>
                    <w:szCs w:val="19"/>
                  </w:rPr>
                </w:pPr>
                <w:r w:rsidRPr="00406EBF">
                  <w:rPr>
                    <w:rFonts w:cstheme="minorHAnsi"/>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13863544"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113</w:t>
                </w:r>
              </w:p>
            </w:tc>
            <w:tc>
              <w:tcPr>
                <w:tcW w:w="1191" w:type="dxa"/>
                <w:tcBorders>
                  <w:top w:val="nil"/>
                  <w:left w:val="nil"/>
                  <w:bottom w:val="single" w:sz="4" w:space="0" w:color="auto"/>
                  <w:right w:val="single" w:sz="4" w:space="0" w:color="auto"/>
                </w:tcBorders>
                <w:shd w:val="clear" w:color="auto" w:fill="auto"/>
                <w:noWrap/>
                <w:vAlign w:val="bottom"/>
                <w:hideMark/>
              </w:tcPr>
              <w:p w14:paraId="1EB62DDF"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27</w:t>
                </w:r>
              </w:p>
            </w:tc>
            <w:tc>
              <w:tcPr>
                <w:tcW w:w="1280" w:type="dxa"/>
                <w:tcBorders>
                  <w:top w:val="nil"/>
                  <w:left w:val="nil"/>
                  <w:bottom w:val="single" w:sz="4" w:space="0" w:color="auto"/>
                  <w:right w:val="single" w:sz="4" w:space="0" w:color="auto"/>
                </w:tcBorders>
                <w:shd w:val="clear" w:color="305496" w:fill="305496"/>
                <w:noWrap/>
                <w:vAlign w:val="center"/>
                <w:hideMark/>
              </w:tcPr>
              <w:p w14:paraId="4E0A9861"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140</w:t>
                </w:r>
              </w:p>
            </w:tc>
          </w:tr>
          <w:tr w:rsidR="003E03B7" w:rsidRPr="00406EBF" w14:paraId="4C347349"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08463D06"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099FC20F"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50E479BD"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681F1BA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1003</w:t>
                </w:r>
              </w:p>
            </w:tc>
            <w:tc>
              <w:tcPr>
                <w:tcW w:w="1191" w:type="dxa"/>
                <w:tcBorders>
                  <w:top w:val="nil"/>
                  <w:left w:val="nil"/>
                  <w:bottom w:val="single" w:sz="4" w:space="0" w:color="auto"/>
                  <w:right w:val="single" w:sz="4" w:space="0" w:color="auto"/>
                </w:tcBorders>
                <w:shd w:val="clear" w:color="auto" w:fill="auto"/>
                <w:noWrap/>
                <w:vAlign w:val="bottom"/>
                <w:hideMark/>
              </w:tcPr>
              <w:p w14:paraId="0C74C743"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377</w:t>
                </w:r>
              </w:p>
            </w:tc>
            <w:tc>
              <w:tcPr>
                <w:tcW w:w="1280" w:type="dxa"/>
                <w:tcBorders>
                  <w:top w:val="nil"/>
                  <w:left w:val="nil"/>
                  <w:bottom w:val="single" w:sz="4" w:space="0" w:color="auto"/>
                  <w:right w:val="single" w:sz="4" w:space="0" w:color="auto"/>
                </w:tcBorders>
                <w:shd w:val="clear" w:color="305496" w:fill="305496"/>
                <w:noWrap/>
                <w:vAlign w:val="center"/>
                <w:hideMark/>
              </w:tcPr>
              <w:p w14:paraId="770D16E6"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1380</w:t>
                </w:r>
              </w:p>
            </w:tc>
          </w:tr>
          <w:tr w:rsidR="003E03B7" w:rsidRPr="00406EBF" w14:paraId="06B8EA52"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13378992"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54A5558B"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5CF957A"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67A65D4F"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288</w:t>
                </w:r>
              </w:p>
            </w:tc>
            <w:tc>
              <w:tcPr>
                <w:tcW w:w="1191" w:type="dxa"/>
                <w:tcBorders>
                  <w:top w:val="nil"/>
                  <w:left w:val="nil"/>
                  <w:bottom w:val="single" w:sz="4" w:space="0" w:color="auto"/>
                  <w:right w:val="single" w:sz="4" w:space="0" w:color="auto"/>
                </w:tcBorders>
                <w:shd w:val="clear" w:color="auto" w:fill="auto"/>
                <w:noWrap/>
                <w:vAlign w:val="bottom"/>
                <w:hideMark/>
              </w:tcPr>
              <w:p w14:paraId="7456806E"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31</w:t>
                </w:r>
              </w:p>
            </w:tc>
            <w:tc>
              <w:tcPr>
                <w:tcW w:w="1280" w:type="dxa"/>
                <w:tcBorders>
                  <w:top w:val="nil"/>
                  <w:left w:val="nil"/>
                  <w:bottom w:val="single" w:sz="4" w:space="0" w:color="auto"/>
                  <w:right w:val="single" w:sz="4" w:space="0" w:color="auto"/>
                </w:tcBorders>
                <w:shd w:val="clear" w:color="305496" w:fill="305496"/>
                <w:noWrap/>
                <w:vAlign w:val="center"/>
                <w:hideMark/>
              </w:tcPr>
              <w:p w14:paraId="3589E8E8"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319</w:t>
                </w:r>
              </w:p>
            </w:tc>
          </w:tr>
          <w:tr w:rsidR="003E03B7" w:rsidRPr="00406EBF" w14:paraId="6EAD4A29"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7F01FDB0"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0A6E4818"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nil"/>
                  <w:right w:val="single" w:sz="4" w:space="0" w:color="auto"/>
                </w:tcBorders>
                <w:shd w:val="clear" w:color="auto" w:fill="auto"/>
                <w:noWrap/>
                <w:vAlign w:val="bottom"/>
                <w:hideMark/>
              </w:tcPr>
              <w:p w14:paraId="43D07DA3" w14:textId="77777777" w:rsidR="003E03B7" w:rsidRPr="00406EBF" w:rsidRDefault="003E03B7" w:rsidP="002F372B">
                <w:pPr>
                  <w:rPr>
                    <w:rFonts w:cstheme="minorHAnsi"/>
                    <w:color w:val="000000"/>
                    <w:sz w:val="19"/>
                    <w:szCs w:val="19"/>
                  </w:rPr>
                </w:pPr>
                <w:r w:rsidRPr="00406EBF">
                  <w:rPr>
                    <w:rFonts w:cstheme="minorHAnsi"/>
                    <w:color w:val="000000"/>
                    <w:sz w:val="19"/>
                    <w:szCs w:val="19"/>
                  </w:rPr>
                  <w:t>AGP</w:t>
                </w:r>
              </w:p>
            </w:tc>
            <w:tc>
              <w:tcPr>
                <w:tcW w:w="1267" w:type="dxa"/>
                <w:tcBorders>
                  <w:top w:val="nil"/>
                  <w:left w:val="nil"/>
                  <w:bottom w:val="nil"/>
                  <w:right w:val="single" w:sz="4" w:space="0" w:color="auto"/>
                </w:tcBorders>
                <w:shd w:val="clear" w:color="auto" w:fill="auto"/>
                <w:noWrap/>
                <w:vAlign w:val="bottom"/>
                <w:hideMark/>
              </w:tcPr>
              <w:p w14:paraId="3070A38B"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w:t>
                </w:r>
              </w:p>
            </w:tc>
            <w:tc>
              <w:tcPr>
                <w:tcW w:w="1191" w:type="dxa"/>
                <w:tcBorders>
                  <w:top w:val="nil"/>
                  <w:left w:val="nil"/>
                  <w:bottom w:val="nil"/>
                  <w:right w:val="single" w:sz="4" w:space="0" w:color="auto"/>
                </w:tcBorders>
                <w:shd w:val="clear" w:color="auto" w:fill="auto"/>
                <w:noWrap/>
                <w:vAlign w:val="bottom"/>
                <w:hideMark/>
              </w:tcPr>
              <w:p w14:paraId="6C3ED05A"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5</w:t>
                </w:r>
              </w:p>
            </w:tc>
            <w:tc>
              <w:tcPr>
                <w:tcW w:w="1280" w:type="dxa"/>
                <w:tcBorders>
                  <w:top w:val="nil"/>
                  <w:left w:val="nil"/>
                  <w:bottom w:val="single" w:sz="4" w:space="0" w:color="auto"/>
                  <w:right w:val="single" w:sz="4" w:space="0" w:color="auto"/>
                </w:tcBorders>
                <w:shd w:val="clear" w:color="305496" w:fill="305496"/>
                <w:noWrap/>
                <w:vAlign w:val="center"/>
                <w:hideMark/>
              </w:tcPr>
              <w:p w14:paraId="40CC0A20"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6</w:t>
                </w:r>
              </w:p>
            </w:tc>
          </w:tr>
          <w:tr w:rsidR="003E03B7" w:rsidRPr="00406EBF" w14:paraId="50B59A36" w14:textId="77777777" w:rsidTr="002F372B">
            <w:trPr>
              <w:trHeight w:val="260"/>
            </w:trPr>
            <w:tc>
              <w:tcPr>
                <w:tcW w:w="2060" w:type="dxa"/>
                <w:tcBorders>
                  <w:top w:val="single" w:sz="4" w:space="0" w:color="auto"/>
                  <w:left w:val="single" w:sz="4" w:space="0" w:color="auto"/>
                  <w:bottom w:val="single" w:sz="4" w:space="0" w:color="auto"/>
                  <w:right w:val="nil"/>
                </w:tcBorders>
                <w:shd w:val="clear" w:color="8EA9DB" w:fill="C65911"/>
                <w:noWrap/>
                <w:vAlign w:val="bottom"/>
                <w:hideMark/>
              </w:tcPr>
              <w:p w14:paraId="0902ED40"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Total CG</w:t>
                </w:r>
              </w:p>
            </w:tc>
            <w:tc>
              <w:tcPr>
                <w:tcW w:w="2217" w:type="dxa"/>
                <w:tcBorders>
                  <w:top w:val="nil"/>
                  <w:left w:val="single" w:sz="4" w:space="0" w:color="auto"/>
                  <w:bottom w:val="single" w:sz="4" w:space="0" w:color="auto"/>
                  <w:right w:val="single" w:sz="4" w:space="0" w:color="auto"/>
                </w:tcBorders>
                <w:shd w:val="clear" w:color="8EA9DB" w:fill="C65911"/>
                <w:noWrap/>
                <w:vAlign w:val="bottom"/>
                <w:hideMark/>
              </w:tcPr>
              <w:p w14:paraId="50546885"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125" w:type="dxa"/>
                <w:tcBorders>
                  <w:top w:val="single" w:sz="4" w:space="0" w:color="auto"/>
                  <w:left w:val="nil"/>
                  <w:bottom w:val="single" w:sz="4" w:space="0" w:color="auto"/>
                  <w:right w:val="single" w:sz="4" w:space="0" w:color="auto"/>
                </w:tcBorders>
                <w:shd w:val="clear" w:color="8EA9DB" w:fill="C65911"/>
                <w:noWrap/>
                <w:vAlign w:val="bottom"/>
                <w:hideMark/>
              </w:tcPr>
              <w:p w14:paraId="513A9FF7"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267" w:type="dxa"/>
                <w:tcBorders>
                  <w:top w:val="single" w:sz="4" w:space="0" w:color="auto"/>
                  <w:left w:val="nil"/>
                  <w:bottom w:val="single" w:sz="4" w:space="0" w:color="auto"/>
                  <w:right w:val="single" w:sz="4" w:space="0" w:color="auto"/>
                </w:tcBorders>
                <w:shd w:val="clear" w:color="8EA9DB" w:fill="C65911"/>
                <w:noWrap/>
                <w:vAlign w:val="bottom"/>
                <w:hideMark/>
              </w:tcPr>
              <w:p w14:paraId="5117A4EA"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1863</w:t>
                </w:r>
              </w:p>
            </w:tc>
            <w:tc>
              <w:tcPr>
                <w:tcW w:w="1191" w:type="dxa"/>
                <w:tcBorders>
                  <w:top w:val="single" w:sz="4" w:space="0" w:color="auto"/>
                  <w:left w:val="nil"/>
                  <w:bottom w:val="single" w:sz="4" w:space="0" w:color="auto"/>
                  <w:right w:val="single" w:sz="4" w:space="0" w:color="auto"/>
                </w:tcBorders>
                <w:shd w:val="clear" w:color="8EA9DB" w:fill="C65911"/>
                <w:noWrap/>
                <w:vAlign w:val="bottom"/>
                <w:hideMark/>
              </w:tcPr>
              <w:p w14:paraId="131E8B37"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992</w:t>
                </w:r>
              </w:p>
            </w:tc>
            <w:tc>
              <w:tcPr>
                <w:tcW w:w="1280" w:type="dxa"/>
                <w:tcBorders>
                  <w:top w:val="nil"/>
                  <w:left w:val="nil"/>
                  <w:bottom w:val="single" w:sz="4" w:space="0" w:color="auto"/>
                  <w:right w:val="single" w:sz="4" w:space="0" w:color="auto"/>
                </w:tcBorders>
                <w:shd w:val="clear" w:color="8EA9DB" w:fill="C65911"/>
                <w:noWrap/>
                <w:vAlign w:val="bottom"/>
                <w:hideMark/>
              </w:tcPr>
              <w:p w14:paraId="15CF672B"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2855</w:t>
                </w:r>
              </w:p>
            </w:tc>
          </w:tr>
          <w:tr w:rsidR="003E03B7" w:rsidRPr="00406EBF" w14:paraId="7FA09AB9" w14:textId="77777777" w:rsidTr="002F372B">
            <w:trPr>
              <w:trHeight w:val="260"/>
            </w:trPr>
            <w:tc>
              <w:tcPr>
                <w:tcW w:w="2060" w:type="dxa"/>
                <w:tcBorders>
                  <w:top w:val="nil"/>
                  <w:left w:val="nil"/>
                  <w:bottom w:val="single" w:sz="4" w:space="0" w:color="D9E1F2"/>
                  <w:right w:val="nil"/>
                </w:tcBorders>
                <w:shd w:val="clear" w:color="8EA9DB" w:fill="548235"/>
                <w:noWrap/>
                <w:vAlign w:val="bottom"/>
                <w:hideMark/>
              </w:tcPr>
              <w:p w14:paraId="61E9EF4B"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DGA</w:t>
                </w:r>
              </w:p>
            </w:tc>
            <w:tc>
              <w:tcPr>
                <w:tcW w:w="2217" w:type="dxa"/>
                <w:tcBorders>
                  <w:top w:val="nil"/>
                  <w:left w:val="single" w:sz="4" w:space="0" w:color="auto"/>
                  <w:bottom w:val="single" w:sz="4" w:space="0" w:color="auto"/>
                  <w:right w:val="single" w:sz="4" w:space="0" w:color="auto"/>
                </w:tcBorders>
                <w:shd w:val="clear" w:color="000000" w:fill="548235"/>
                <w:noWrap/>
                <w:vAlign w:val="bottom"/>
                <w:hideMark/>
              </w:tcPr>
              <w:p w14:paraId="668DFCBD"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7025DF76" w14:textId="77777777" w:rsidR="003E03B7" w:rsidRPr="00406EBF" w:rsidRDefault="003E03B7" w:rsidP="002F372B">
                <w:pPr>
                  <w:rPr>
                    <w:rFonts w:cstheme="minorHAnsi"/>
                    <w:color w:val="000000"/>
                    <w:sz w:val="19"/>
                    <w:szCs w:val="19"/>
                  </w:rPr>
                </w:pPr>
                <w:r w:rsidRPr="00406EBF">
                  <w:rPr>
                    <w:rFonts w:cstheme="minorHAnsi"/>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77FA94EB"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18</w:t>
                </w:r>
              </w:p>
            </w:tc>
            <w:tc>
              <w:tcPr>
                <w:tcW w:w="1191" w:type="dxa"/>
                <w:tcBorders>
                  <w:top w:val="nil"/>
                  <w:left w:val="nil"/>
                  <w:bottom w:val="single" w:sz="4" w:space="0" w:color="auto"/>
                  <w:right w:val="single" w:sz="4" w:space="0" w:color="auto"/>
                </w:tcBorders>
                <w:shd w:val="clear" w:color="auto" w:fill="auto"/>
                <w:noWrap/>
                <w:vAlign w:val="bottom"/>
                <w:hideMark/>
              </w:tcPr>
              <w:p w14:paraId="633000AB"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33</w:t>
                </w:r>
              </w:p>
            </w:tc>
            <w:tc>
              <w:tcPr>
                <w:tcW w:w="1280" w:type="dxa"/>
                <w:tcBorders>
                  <w:top w:val="nil"/>
                  <w:left w:val="nil"/>
                  <w:bottom w:val="single" w:sz="4" w:space="0" w:color="auto"/>
                  <w:right w:val="single" w:sz="4" w:space="0" w:color="auto"/>
                </w:tcBorders>
                <w:shd w:val="clear" w:color="305496" w:fill="305496"/>
                <w:noWrap/>
                <w:vAlign w:val="center"/>
                <w:hideMark/>
              </w:tcPr>
              <w:p w14:paraId="43967F5B"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51</w:t>
                </w:r>
              </w:p>
            </w:tc>
          </w:tr>
          <w:tr w:rsidR="003E03B7" w:rsidRPr="00406EBF" w14:paraId="3BC91BB0" w14:textId="77777777" w:rsidTr="002F372B">
            <w:trPr>
              <w:trHeight w:val="260"/>
            </w:trPr>
            <w:tc>
              <w:tcPr>
                <w:tcW w:w="2060" w:type="dxa"/>
                <w:tcBorders>
                  <w:top w:val="single" w:sz="4" w:space="0" w:color="auto"/>
                  <w:left w:val="single" w:sz="4" w:space="0" w:color="auto"/>
                  <w:bottom w:val="nil"/>
                  <w:right w:val="single" w:sz="4" w:space="0" w:color="auto"/>
                </w:tcBorders>
                <w:shd w:val="clear" w:color="000000" w:fill="FFFFFF"/>
                <w:noWrap/>
                <w:vAlign w:val="bottom"/>
                <w:hideMark/>
              </w:tcPr>
              <w:p w14:paraId="4F5CB526"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329E5C15"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03F4CFA" w14:textId="77777777" w:rsidR="003E03B7" w:rsidRPr="00406EBF" w:rsidRDefault="003E03B7" w:rsidP="002F372B">
                <w:pPr>
                  <w:rPr>
                    <w:rFonts w:cstheme="minorHAnsi"/>
                    <w:color w:val="000000"/>
                    <w:sz w:val="19"/>
                    <w:szCs w:val="19"/>
                  </w:rPr>
                </w:pPr>
                <w:r w:rsidRPr="00406EBF">
                  <w:rPr>
                    <w:rFonts w:cstheme="minorHAnsi"/>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1778C0E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38</w:t>
                </w:r>
              </w:p>
            </w:tc>
            <w:tc>
              <w:tcPr>
                <w:tcW w:w="1191" w:type="dxa"/>
                <w:tcBorders>
                  <w:top w:val="nil"/>
                  <w:left w:val="nil"/>
                  <w:bottom w:val="single" w:sz="4" w:space="0" w:color="auto"/>
                  <w:right w:val="single" w:sz="4" w:space="0" w:color="auto"/>
                </w:tcBorders>
                <w:shd w:val="clear" w:color="auto" w:fill="auto"/>
                <w:noWrap/>
                <w:vAlign w:val="bottom"/>
                <w:hideMark/>
              </w:tcPr>
              <w:p w14:paraId="0E8D2C99"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38</w:t>
                </w:r>
              </w:p>
            </w:tc>
            <w:tc>
              <w:tcPr>
                <w:tcW w:w="1280" w:type="dxa"/>
                <w:tcBorders>
                  <w:top w:val="nil"/>
                  <w:left w:val="nil"/>
                  <w:bottom w:val="single" w:sz="4" w:space="0" w:color="auto"/>
                  <w:right w:val="single" w:sz="4" w:space="0" w:color="auto"/>
                </w:tcBorders>
                <w:shd w:val="clear" w:color="305496" w:fill="305496"/>
                <w:noWrap/>
                <w:vAlign w:val="center"/>
                <w:hideMark/>
              </w:tcPr>
              <w:p w14:paraId="58F4A0C9"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76</w:t>
                </w:r>
              </w:p>
            </w:tc>
          </w:tr>
          <w:tr w:rsidR="003E03B7" w:rsidRPr="00406EBF" w14:paraId="4A700B57"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2D3804BB"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591A52F2"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1ED0606" w14:textId="77777777" w:rsidR="003E03B7" w:rsidRPr="00406EBF" w:rsidRDefault="003E03B7" w:rsidP="002F372B">
                <w:pPr>
                  <w:rPr>
                    <w:rFonts w:cstheme="minorHAnsi"/>
                    <w:color w:val="000000"/>
                    <w:sz w:val="19"/>
                    <w:szCs w:val="19"/>
                  </w:rPr>
                </w:pPr>
                <w:r w:rsidRPr="00406EBF">
                  <w:rPr>
                    <w:rFonts w:cstheme="minorHAnsi"/>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5D0CF489"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42</w:t>
                </w:r>
              </w:p>
            </w:tc>
            <w:tc>
              <w:tcPr>
                <w:tcW w:w="1191" w:type="dxa"/>
                <w:tcBorders>
                  <w:top w:val="nil"/>
                  <w:left w:val="nil"/>
                  <w:bottom w:val="single" w:sz="4" w:space="0" w:color="auto"/>
                  <w:right w:val="single" w:sz="4" w:space="0" w:color="auto"/>
                </w:tcBorders>
                <w:shd w:val="clear" w:color="auto" w:fill="auto"/>
                <w:noWrap/>
                <w:vAlign w:val="bottom"/>
                <w:hideMark/>
              </w:tcPr>
              <w:p w14:paraId="550E1C3C"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123</w:t>
                </w:r>
              </w:p>
            </w:tc>
            <w:tc>
              <w:tcPr>
                <w:tcW w:w="1280" w:type="dxa"/>
                <w:tcBorders>
                  <w:top w:val="nil"/>
                  <w:left w:val="nil"/>
                  <w:bottom w:val="single" w:sz="4" w:space="0" w:color="auto"/>
                  <w:right w:val="single" w:sz="4" w:space="0" w:color="auto"/>
                </w:tcBorders>
                <w:shd w:val="clear" w:color="305496" w:fill="305496"/>
                <w:noWrap/>
                <w:vAlign w:val="center"/>
                <w:hideMark/>
              </w:tcPr>
              <w:p w14:paraId="195E1C4A"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165</w:t>
                </w:r>
              </w:p>
            </w:tc>
          </w:tr>
          <w:tr w:rsidR="003E03B7" w:rsidRPr="00406EBF" w14:paraId="054AE980"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476FD4E2"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2846B87F"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C20A42C" w14:textId="77777777" w:rsidR="003E03B7" w:rsidRPr="00406EBF" w:rsidRDefault="003E03B7" w:rsidP="002F372B">
                <w:pPr>
                  <w:rPr>
                    <w:rFonts w:cstheme="minorHAnsi"/>
                    <w:color w:val="000000"/>
                    <w:sz w:val="19"/>
                    <w:szCs w:val="19"/>
                  </w:rPr>
                </w:pPr>
                <w:r w:rsidRPr="00406EBF">
                  <w:rPr>
                    <w:rFonts w:cstheme="minorHAnsi"/>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4B470320"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14</w:t>
                </w:r>
              </w:p>
            </w:tc>
            <w:tc>
              <w:tcPr>
                <w:tcW w:w="1191" w:type="dxa"/>
                <w:tcBorders>
                  <w:top w:val="nil"/>
                  <w:left w:val="nil"/>
                  <w:bottom w:val="single" w:sz="4" w:space="0" w:color="auto"/>
                  <w:right w:val="single" w:sz="4" w:space="0" w:color="auto"/>
                </w:tcBorders>
                <w:shd w:val="clear" w:color="auto" w:fill="auto"/>
                <w:noWrap/>
                <w:vAlign w:val="bottom"/>
                <w:hideMark/>
              </w:tcPr>
              <w:p w14:paraId="7E4FC5FA"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17</w:t>
                </w:r>
              </w:p>
            </w:tc>
            <w:tc>
              <w:tcPr>
                <w:tcW w:w="1280" w:type="dxa"/>
                <w:tcBorders>
                  <w:top w:val="nil"/>
                  <w:left w:val="nil"/>
                  <w:bottom w:val="single" w:sz="4" w:space="0" w:color="auto"/>
                  <w:right w:val="single" w:sz="4" w:space="0" w:color="auto"/>
                </w:tcBorders>
                <w:shd w:val="clear" w:color="305496" w:fill="305496"/>
                <w:noWrap/>
                <w:vAlign w:val="center"/>
                <w:hideMark/>
              </w:tcPr>
              <w:p w14:paraId="556B027A"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31</w:t>
                </w:r>
              </w:p>
            </w:tc>
          </w:tr>
          <w:tr w:rsidR="003E03B7" w:rsidRPr="00406EBF" w14:paraId="4003C07D"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25EC8B8C"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548235"/>
                <w:noWrap/>
                <w:vAlign w:val="bottom"/>
                <w:hideMark/>
              </w:tcPr>
              <w:p w14:paraId="7EB24E9A"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197E547F" w14:textId="77777777" w:rsidR="003E03B7" w:rsidRPr="00406EBF" w:rsidRDefault="003E03B7" w:rsidP="002F372B">
                <w:pPr>
                  <w:rPr>
                    <w:rFonts w:cstheme="minorHAnsi"/>
                    <w:color w:val="000000"/>
                    <w:sz w:val="19"/>
                    <w:szCs w:val="19"/>
                  </w:rPr>
                </w:pPr>
                <w:r w:rsidRPr="00406EBF">
                  <w:rPr>
                    <w:rFonts w:cstheme="minorHAnsi"/>
                    <w:color w:val="000000"/>
                    <w:sz w:val="19"/>
                    <w:szCs w:val="19"/>
                  </w:rPr>
                  <w:t>BAP</w:t>
                </w:r>
              </w:p>
            </w:tc>
            <w:tc>
              <w:tcPr>
                <w:tcW w:w="1267" w:type="dxa"/>
                <w:tcBorders>
                  <w:top w:val="nil"/>
                  <w:left w:val="nil"/>
                  <w:bottom w:val="single" w:sz="4" w:space="0" w:color="auto"/>
                  <w:right w:val="single" w:sz="4" w:space="0" w:color="auto"/>
                </w:tcBorders>
                <w:shd w:val="clear" w:color="auto" w:fill="auto"/>
                <w:noWrap/>
                <w:vAlign w:val="bottom"/>
                <w:hideMark/>
              </w:tcPr>
              <w:p w14:paraId="1E7C4B01"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42</w:t>
                </w:r>
              </w:p>
            </w:tc>
            <w:tc>
              <w:tcPr>
                <w:tcW w:w="1191" w:type="dxa"/>
                <w:tcBorders>
                  <w:top w:val="nil"/>
                  <w:left w:val="nil"/>
                  <w:bottom w:val="single" w:sz="4" w:space="0" w:color="auto"/>
                  <w:right w:val="single" w:sz="4" w:space="0" w:color="auto"/>
                </w:tcBorders>
                <w:shd w:val="clear" w:color="auto" w:fill="auto"/>
                <w:noWrap/>
                <w:vAlign w:val="bottom"/>
                <w:hideMark/>
              </w:tcPr>
              <w:p w14:paraId="2156280D"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 </w:t>
                </w:r>
              </w:p>
            </w:tc>
            <w:tc>
              <w:tcPr>
                <w:tcW w:w="1280" w:type="dxa"/>
                <w:tcBorders>
                  <w:top w:val="nil"/>
                  <w:left w:val="nil"/>
                  <w:bottom w:val="single" w:sz="4" w:space="0" w:color="auto"/>
                  <w:right w:val="single" w:sz="4" w:space="0" w:color="auto"/>
                </w:tcBorders>
                <w:shd w:val="clear" w:color="305496" w:fill="305496"/>
                <w:noWrap/>
                <w:vAlign w:val="center"/>
                <w:hideMark/>
              </w:tcPr>
              <w:p w14:paraId="014B4787"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42</w:t>
                </w:r>
              </w:p>
            </w:tc>
          </w:tr>
          <w:tr w:rsidR="003E03B7" w:rsidRPr="00406EBF" w14:paraId="63BB667F"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6AFC48F6"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6B87EA98"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583FB258" w14:textId="77777777" w:rsidR="003E03B7" w:rsidRPr="00406EBF" w:rsidRDefault="003E03B7" w:rsidP="002F372B">
                <w:pPr>
                  <w:rPr>
                    <w:rFonts w:cstheme="minorHAnsi"/>
                    <w:color w:val="000000"/>
                    <w:sz w:val="19"/>
                    <w:szCs w:val="19"/>
                  </w:rPr>
                </w:pPr>
                <w:r w:rsidRPr="00406EBF">
                  <w:rPr>
                    <w:rFonts w:cstheme="minorHAnsi"/>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1EA9ADD1"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30</w:t>
                </w:r>
              </w:p>
            </w:tc>
            <w:tc>
              <w:tcPr>
                <w:tcW w:w="1191" w:type="dxa"/>
                <w:tcBorders>
                  <w:top w:val="nil"/>
                  <w:left w:val="nil"/>
                  <w:bottom w:val="single" w:sz="4" w:space="0" w:color="auto"/>
                  <w:right w:val="single" w:sz="4" w:space="0" w:color="auto"/>
                </w:tcBorders>
                <w:shd w:val="clear" w:color="auto" w:fill="auto"/>
                <w:noWrap/>
                <w:vAlign w:val="bottom"/>
                <w:hideMark/>
              </w:tcPr>
              <w:p w14:paraId="6E7DE83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w:t>
                </w:r>
              </w:p>
            </w:tc>
            <w:tc>
              <w:tcPr>
                <w:tcW w:w="1280" w:type="dxa"/>
                <w:tcBorders>
                  <w:top w:val="nil"/>
                  <w:left w:val="nil"/>
                  <w:bottom w:val="single" w:sz="4" w:space="0" w:color="auto"/>
                  <w:right w:val="single" w:sz="4" w:space="0" w:color="auto"/>
                </w:tcBorders>
                <w:shd w:val="clear" w:color="305496" w:fill="305496"/>
                <w:noWrap/>
                <w:vAlign w:val="center"/>
                <w:hideMark/>
              </w:tcPr>
              <w:p w14:paraId="6F427625"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34</w:t>
                </w:r>
              </w:p>
            </w:tc>
          </w:tr>
          <w:tr w:rsidR="003E03B7" w:rsidRPr="00406EBF" w14:paraId="4B387487"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2757F61F"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7489D0E2"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61F7532" w14:textId="77777777" w:rsidR="003E03B7" w:rsidRPr="00406EBF" w:rsidRDefault="003E03B7" w:rsidP="002F372B">
                <w:pPr>
                  <w:rPr>
                    <w:rFonts w:cstheme="minorHAnsi"/>
                    <w:color w:val="000000"/>
                    <w:sz w:val="19"/>
                    <w:szCs w:val="19"/>
                  </w:rPr>
                </w:pPr>
                <w:r w:rsidRPr="00406EBF">
                  <w:rPr>
                    <w:rFonts w:cstheme="minorHAnsi"/>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5FDFEC2F"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124</w:t>
                </w:r>
              </w:p>
            </w:tc>
            <w:tc>
              <w:tcPr>
                <w:tcW w:w="1191" w:type="dxa"/>
                <w:tcBorders>
                  <w:top w:val="nil"/>
                  <w:left w:val="nil"/>
                  <w:bottom w:val="single" w:sz="4" w:space="0" w:color="auto"/>
                  <w:right w:val="single" w:sz="4" w:space="0" w:color="auto"/>
                </w:tcBorders>
                <w:shd w:val="clear" w:color="auto" w:fill="auto"/>
                <w:noWrap/>
                <w:vAlign w:val="bottom"/>
                <w:hideMark/>
              </w:tcPr>
              <w:p w14:paraId="2C74ABEE"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12</w:t>
                </w:r>
              </w:p>
            </w:tc>
            <w:tc>
              <w:tcPr>
                <w:tcW w:w="1280" w:type="dxa"/>
                <w:tcBorders>
                  <w:top w:val="nil"/>
                  <w:left w:val="nil"/>
                  <w:bottom w:val="single" w:sz="4" w:space="0" w:color="auto"/>
                  <w:right w:val="single" w:sz="4" w:space="0" w:color="auto"/>
                </w:tcBorders>
                <w:shd w:val="clear" w:color="305496" w:fill="305496"/>
                <w:noWrap/>
                <w:vAlign w:val="center"/>
                <w:hideMark/>
              </w:tcPr>
              <w:p w14:paraId="12F48FAC"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136</w:t>
                </w:r>
              </w:p>
            </w:tc>
          </w:tr>
          <w:tr w:rsidR="003E03B7" w:rsidRPr="00406EBF" w14:paraId="6D6040D1"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4FDB3DFA"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28E57EFB"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74530E3"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047135CE"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2235</w:t>
                </w:r>
              </w:p>
            </w:tc>
            <w:tc>
              <w:tcPr>
                <w:tcW w:w="1191" w:type="dxa"/>
                <w:tcBorders>
                  <w:top w:val="nil"/>
                  <w:left w:val="nil"/>
                  <w:bottom w:val="single" w:sz="4" w:space="0" w:color="auto"/>
                  <w:right w:val="single" w:sz="4" w:space="0" w:color="auto"/>
                </w:tcBorders>
                <w:shd w:val="clear" w:color="auto" w:fill="auto"/>
                <w:noWrap/>
                <w:vAlign w:val="bottom"/>
                <w:hideMark/>
              </w:tcPr>
              <w:p w14:paraId="0629E24D"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421</w:t>
                </w:r>
              </w:p>
            </w:tc>
            <w:tc>
              <w:tcPr>
                <w:tcW w:w="1280" w:type="dxa"/>
                <w:tcBorders>
                  <w:top w:val="nil"/>
                  <w:left w:val="nil"/>
                  <w:bottom w:val="single" w:sz="4" w:space="0" w:color="auto"/>
                  <w:right w:val="single" w:sz="4" w:space="0" w:color="auto"/>
                </w:tcBorders>
                <w:shd w:val="clear" w:color="305496" w:fill="305496"/>
                <w:noWrap/>
                <w:vAlign w:val="center"/>
                <w:hideMark/>
              </w:tcPr>
              <w:p w14:paraId="0FDB5BDF"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2656</w:t>
                </w:r>
              </w:p>
            </w:tc>
          </w:tr>
          <w:tr w:rsidR="003E03B7" w:rsidRPr="00406EBF" w14:paraId="6A29C1D1"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20A384B8"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3C2744CF"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49879B5B"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725FC9F2"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461</w:t>
                </w:r>
              </w:p>
            </w:tc>
            <w:tc>
              <w:tcPr>
                <w:tcW w:w="1191" w:type="dxa"/>
                <w:tcBorders>
                  <w:top w:val="nil"/>
                  <w:left w:val="nil"/>
                  <w:bottom w:val="single" w:sz="4" w:space="0" w:color="auto"/>
                  <w:right w:val="single" w:sz="4" w:space="0" w:color="auto"/>
                </w:tcBorders>
                <w:shd w:val="clear" w:color="auto" w:fill="auto"/>
                <w:noWrap/>
                <w:vAlign w:val="bottom"/>
                <w:hideMark/>
              </w:tcPr>
              <w:p w14:paraId="5FD34B9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37</w:t>
                </w:r>
              </w:p>
            </w:tc>
            <w:tc>
              <w:tcPr>
                <w:tcW w:w="1280" w:type="dxa"/>
                <w:tcBorders>
                  <w:top w:val="nil"/>
                  <w:left w:val="nil"/>
                  <w:bottom w:val="single" w:sz="4" w:space="0" w:color="auto"/>
                  <w:right w:val="single" w:sz="4" w:space="0" w:color="auto"/>
                </w:tcBorders>
                <w:shd w:val="clear" w:color="305496" w:fill="305496"/>
                <w:noWrap/>
                <w:vAlign w:val="center"/>
                <w:hideMark/>
              </w:tcPr>
              <w:p w14:paraId="4807B14D"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498</w:t>
                </w:r>
              </w:p>
            </w:tc>
          </w:tr>
          <w:tr w:rsidR="003E03B7" w:rsidRPr="00406EBF" w14:paraId="33D513F6" w14:textId="77777777" w:rsidTr="002F372B">
            <w:trPr>
              <w:trHeight w:val="260"/>
            </w:trPr>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14:paraId="5EFD6FE0"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3BB9D55E"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33B4DB0" w14:textId="77777777" w:rsidR="003E03B7" w:rsidRPr="00406EBF" w:rsidRDefault="003E03B7" w:rsidP="002F372B">
                <w:pPr>
                  <w:rPr>
                    <w:rFonts w:cstheme="minorHAnsi"/>
                    <w:color w:val="000000"/>
                    <w:sz w:val="19"/>
                    <w:szCs w:val="19"/>
                  </w:rPr>
                </w:pPr>
                <w:r w:rsidRPr="00406EBF">
                  <w:rPr>
                    <w:rFonts w:cstheme="minorHAnsi"/>
                    <w:color w:val="000000"/>
                    <w:sz w:val="19"/>
                    <w:szCs w:val="19"/>
                  </w:rPr>
                  <w:t>AGP</w:t>
                </w:r>
              </w:p>
            </w:tc>
            <w:tc>
              <w:tcPr>
                <w:tcW w:w="1267" w:type="dxa"/>
                <w:tcBorders>
                  <w:top w:val="nil"/>
                  <w:left w:val="nil"/>
                  <w:bottom w:val="single" w:sz="4" w:space="0" w:color="auto"/>
                  <w:right w:val="single" w:sz="4" w:space="0" w:color="auto"/>
                </w:tcBorders>
                <w:shd w:val="clear" w:color="auto" w:fill="auto"/>
                <w:noWrap/>
                <w:vAlign w:val="bottom"/>
                <w:hideMark/>
              </w:tcPr>
              <w:p w14:paraId="75205145"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9</w:t>
                </w:r>
              </w:p>
            </w:tc>
            <w:tc>
              <w:tcPr>
                <w:tcW w:w="1191" w:type="dxa"/>
                <w:tcBorders>
                  <w:top w:val="nil"/>
                  <w:left w:val="nil"/>
                  <w:bottom w:val="single" w:sz="4" w:space="0" w:color="auto"/>
                  <w:right w:val="single" w:sz="4" w:space="0" w:color="auto"/>
                </w:tcBorders>
                <w:shd w:val="clear" w:color="auto" w:fill="auto"/>
                <w:noWrap/>
                <w:vAlign w:val="bottom"/>
                <w:hideMark/>
              </w:tcPr>
              <w:p w14:paraId="73DAB954"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10</w:t>
                </w:r>
              </w:p>
            </w:tc>
            <w:tc>
              <w:tcPr>
                <w:tcW w:w="1280" w:type="dxa"/>
                <w:tcBorders>
                  <w:top w:val="nil"/>
                  <w:left w:val="nil"/>
                  <w:bottom w:val="single" w:sz="4" w:space="0" w:color="auto"/>
                  <w:right w:val="single" w:sz="4" w:space="0" w:color="auto"/>
                </w:tcBorders>
                <w:shd w:val="clear" w:color="305496" w:fill="305496"/>
                <w:noWrap/>
                <w:vAlign w:val="center"/>
                <w:hideMark/>
              </w:tcPr>
              <w:p w14:paraId="2904AFB2"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19</w:t>
                </w:r>
              </w:p>
            </w:tc>
          </w:tr>
          <w:tr w:rsidR="003E03B7" w:rsidRPr="00406EBF" w14:paraId="02888193" w14:textId="77777777" w:rsidTr="002F372B">
            <w:trPr>
              <w:trHeight w:val="260"/>
            </w:trPr>
            <w:tc>
              <w:tcPr>
                <w:tcW w:w="2060" w:type="dxa"/>
                <w:tcBorders>
                  <w:top w:val="nil"/>
                  <w:left w:val="single" w:sz="4" w:space="0" w:color="auto"/>
                  <w:bottom w:val="single" w:sz="4" w:space="0" w:color="auto"/>
                  <w:right w:val="nil"/>
                </w:tcBorders>
                <w:shd w:val="clear" w:color="8EA9DB" w:fill="548235"/>
                <w:noWrap/>
                <w:vAlign w:val="bottom"/>
                <w:hideMark/>
              </w:tcPr>
              <w:p w14:paraId="106B851C"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Total DGA</w:t>
                </w:r>
              </w:p>
            </w:tc>
            <w:tc>
              <w:tcPr>
                <w:tcW w:w="2217" w:type="dxa"/>
                <w:tcBorders>
                  <w:top w:val="single" w:sz="4" w:space="0" w:color="auto"/>
                  <w:left w:val="single" w:sz="4" w:space="0" w:color="auto"/>
                  <w:bottom w:val="single" w:sz="4" w:space="0" w:color="auto"/>
                  <w:right w:val="single" w:sz="4" w:space="0" w:color="auto"/>
                </w:tcBorders>
                <w:shd w:val="clear" w:color="8EA9DB" w:fill="548235"/>
                <w:noWrap/>
                <w:vAlign w:val="bottom"/>
                <w:hideMark/>
              </w:tcPr>
              <w:p w14:paraId="07DE3441"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125" w:type="dxa"/>
                <w:tcBorders>
                  <w:top w:val="nil"/>
                  <w:left w:val="nil"/>
                  <w:bottom w:val="single" w:sz="4" w:space="0" w:color="auto"/>
                  <w:right w:val="single" w:sz="4" w:space="0" w:color="auto"/>
                </w:tcBorders>
                <w:shd w:val="clear" w:color="8EA9DB" w:fill="548235"/>
                <w:noWrap/>
                <w:vAlign w:val="bottom"/>
                <w:hideMark/>
              </w:tcPr>
              <w:p w14:paraId="7287541D"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267" w:type="dxa"/>
                <w:tcBorders>
                  <w:top w:val="nil"/>
                  <w:left w:val="nil"/>
                  <w:bottom w:val="single" w:sz="4" w:space="0" w:color="auto"/>
                  <w:right w:val="single" w:sz="4" w:space="0" w:color="auto"/>
                </w:tcBorders>
                <w:shd w:val="clear" w:color="8EA9DB" w:fill="548235"/>
                <w:noWrap/>
                <w:vAlign w:val="bottom"/>
                <w:hideMark/>
              </w:tcPr>
              <w:p w14:paraId="4CB2C6B5"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3013</w:t>
                </w:r>
              </w:p>
            </w:tc>
            <w:tc>
              <w:tcPr>
                <w:tcW w:w="1191" w:type="dxa"/>
                <w:tcBorders>
                  <w:top w:val="nil"/>
                  <w:left w:val="nil"/>
                  <w:bottom w:val="single" w:sz="4" w:space="0" w:color="auto"/>
                  <w:right w:val="single" w:sz="4" w:space="0" w:color="auto"/>
                </w:tcBorders>
                <w:shd w:val="clear" w:color="8EA9DB" w:fill="548235"/>
                <w:noWrap/>
                <w:vAlign w:val="bottom"/>
                <w:hideMark/>
              </w:tcPr>
              <w:p w14:paraId="017DF66F"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695</w:t>
                </w:r>
              </w:p>
            </w:tc>
            <w:tc>
              <w:tcPr>
                <w:tcW w:w="1280" w:type="dxa"/>
                <w:tcBorders>
                  <w:top w:val="nil"/>
                  <w:left w:val="nil"/>
                  <w:bottom w:val="single" w:sz="4" w:space="0" w:color="auto"/>
                  <w:right w:val="single" w:sz="4" w:space="0" w:color="auto"/>
                </w:tcBorders>
                <w:shd w:val="clear" w:color="8EA9DB" w:fill="548235"/>
                <w:noWrap/>
                <w:vAlign w:val="bottom"/>
                <w:hideMark/>
              </w:tcPr>
              <w:p w14:paraId="5863AA48"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3708</w:t>
                </w:r>
              </w:p>
            </w:tc>
          </w:tr>
          <w:tr w:rsidR="003E03B7" w:rsidRPr="00406EBF" w14:paraId="65EBEDF0" w14:textId="77777777" w:rsidTr="002F372B">
            <w:trPr>
              <w:trHeight w:val="260"/>
            </w:trPr>
            <w:tc>
              <w:tcPr>
                <w:tcW w:w="2060" w:type="dxa"/>
                <w:tcBorders>
                  <w:top w:val="single" w:sz="4" w:space="0" w:color="8EA9DB"/>
                  <w:left w:val="nil"/>
                  <w:bottom w:val="single" w:sz="4" w:space="0" w:color="D9E1F2"/>
                  <w:right w:val="nil"/>
                </w:tcBorders>
                <w:shd w:val="clear" w:color="8EA9DB" w:fill="FFC000"/>
                <w:noWrap/>
                <w:vAlign w:val="bottom"/>
                <w:hideMark/>
              </w:tcPr>
              <w:p w14:paraId="49DF952E"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DGJ</w:t>
                </w:r>
              </w:p>
            </w:tc>
            <w:tc>
              <w:tcPr>
                <w:tcW w:w="2217" w:type="dxa"/>
                <w:tcBorders>
                  <w:top w:val="nil"/>
                  <w:left w:val="single" w:sz="4" w:space="0" w:color="auto"/>
                  <w:bottom w:val="single" w:sz="4" w:space="0" w:color="auto"/>
                  <w:right w:val="single" w:sz="4" w:space="0" w:color="auto"/>
                </w:tcBorders>
                <w:shd w:val="clear" w:color="000000" w:fill="FFC000"/>
                <w:noWrap/>
                <w:vAlign w:val="bottom"/>
                <w:hideMark/>
              </w:tcPr>
              <w:p w14:paraId="216AE912"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1D7C1C7A" w14:textId="77777777" w:rsidR="003E03B7" w:rsidRPr="00406EBF" w:rsidRDefault="003E03B7" w:rsidP="002F372B">
                <w:pPr>
                  <w:rPr>
                    <w:rFonts w:cstheme="minorHAnsi"/>
                    <w:color w:val="000000"/>
                    <w:sz w:val="19"/>
                    <w:szCs w:val="19"/>
                  </w:rPr>
                </w:pPr>
                <w:r w:rsidRPr="00406EBF">
                  <w:rPr>
                    <w:rFonts w:cstheme="minorHAnsi"/>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3D5D2BFE"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34</w:t>
                </w:r>
              </w:p>
            </w:tc>
            <w:tc>
              <w:tcPr>
                <w:tcW w:w="1191" w:type="dxa"/>
                <w:tcBorders>
                  <w:top w:val="nil"/>
                  <w:left w:val="nil"/>
                  <w:bottom w:val="single" w:sz="4" w:space="0" w:color="auto"/>
                  <w:right w:val="single" w:sz="4" w:space="0" w:color="auto"/>
                </w:tcBorders>
                <w:shd w:val="clear" w:color="auto" w:fill="auto"/>
                <w:noWrap/>
                <w:vAlign w:val="bottom"/>
                <w:hideMark/>
              </w:tcPr>
              <w:p w14:paraId="3A6D878A"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51</w:t>
                </w:r>
              </w:p>
            </w:tc>
            <w:tc>
              <w:tcPr>
                <w:tcW w:w="1280" w:type="dxa"/>
                <w:tcBorders>
                  <w:top w:val="nil"/>
                  <w:left w:val="nil"/>
                  <w:bottom w:val="single" w:sz="4" w:space="0" w:color="auto"/>
                  <w:right w:val="single" w:sz="4" w:space="0" w:color="auto"/>
                </w:tcBorders>
                <w:shd w:val="clear" w:color="305496" w:fill="305496"/>
                <w:noWrap/>
                <w:vAlign w:val="center"/>
                <w:hideMark/>
              </w:tcPr>
              <w:p w14:paraId="16F591ED"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85</w:t>
                </w:r>
              </w:p>
            </w:tc>
          </w:tr>
          <w:tr w:rsidR="003E03B7" w:rsidRPr="00406EBF" w14:paraId="7CFABA00" w14:textId="77777777" w:rsidTr="002F372B">
            <w:trPr>
              <w:trHeight w:val="260"/>
            </w:trPr>
            <w:tc>
              <w:tcPr>
                <w:tcW w:w="2060" w:type="dxa"/>
                <w:tcBorders>
                  <w:top w:val="single" w:sz="4" w:space="0" w:color="auto"/>
                  <w:left w:val="single" w:sz="4" w:space="0" w:color="auto"/>
                  <w:bottom w:val="nil"/>
                  <w:right w:val="single" w:sz="4" w:space="0" w:color="auto"/>
                </w:tcBorders>
                <w:shd w:val="clear" w:color="auto" w:fill="auto"/>
                <w:noWrap/>
                <w:vAlign w:val="bottom"/>
                <w:hideMark/>
              </w:tcPr>
              <w:p w14:paraId="2713FCE9"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44DA3FA0"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3C7B3D2" w14:textId="77777777" w:rsidR="003E03B7" w:rsidRPr="00406EBF" w:rsidRDefault="003E03B7" w:rsidP="002F372B">
                <w:pPr>
                  <w:rPr>
                    <w:rFonts w:cstheme="minorHAnsi"/>
                    <w:color w:val="000000"/>
                    <w:sz w:val="19"/>
                    <w:szCs w:val="19"/>
                  </w:rPr>
                </w:pPr>
                <w:r w:rsidRPr="00406EBF">
                  <w:rPr>
                    <w:rFonts w:cstheme="minorHAnsi"/>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1F4A38D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62</w:t>
                </w:r>
              </w:p>
            </w:tc>
            <w:tc>
              <w:tcPr>
                <w:tcW w:w="1191" w:type="dxa"/>
                <w:tcBorders>
                  <w:top w:val="nil"/>
                  <w:left w:val="nil"/>
                  <w:bottom w:val="single" w:sz="4" w:space="0" w:color="auto"/>
                  <w:right w:val="single" w:sz="4" w:space="0" w:color="auto"/>
                </w:tcBorders>
                <w:shd w:val="clear" w:color="auto" w:fill="auto"/>
                <w:noWrap/>
                <w:vAlign w:val="bottom"/>
                <w:hideMark/>
              </w:tcPr>
              <w:p w14:paraId="7D733065"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92</w:t>
                </w:r>
              </w:p>
            </w:tc>
            <w:tc>
              <w:tcPr>
                <w:tcW w:w="1280" w:type="dxa"/>
                <w:tcBorders>
                  <w:top w:val="nil"/>
                  <w:left w:val="nil"/>
                  <w:bottom w:val="single" w:sz="4" w:space="0" w:color="auto"/>
                  <w:right w:val="single" w:sz="4" w:space="0" w:color="auto"/>
                </w:tcBorders>
                <w:shd w:val="clear" w:color="305496" w:fill="305496"/>
                <w:noWrap/>
                <w:vAlign w:val="center"/>
                <w:hideMark/>
              </w:tcPr>
              <w:p w14:paraId="47149DE8"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154</w:t>
                </w:r>
              </w:p>
            </w:tc>
          </w:tr>
          <w:tr w:rsidR="003E03B7" w:rsidRPr="00406EBF" w14:paraId="6ECD3262"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39BE8158"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C74E3CF"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B546A0C" w14:textId="77777777" w:rsidR="003E03B7" w:rsidRPr="00406EBF" w:rsidRDefault="003E03B7" w:rsidP="002F372B">
                <w:pPr>
                  <w:rPr>
                    <w:rFonts w:cstheme="minorHAnsi"/>
                    <w:color w:val="000000"/>
                    <w:sz w:val="19"/>
                    <w:szCs w:val="19"/>
                  </w:rPr>
                </w:pPr>
                <w:r w:rsidRPr="00406EBF">
                  <w:rPr>
                    <w:rFonts w:cstheme="minorHAnsi"/>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40750CC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86</w:t>
                </w:r>
              </w:p>
            </w:tc>
            <w:tc>
              <w:tcPr>
                <w:tcW w:w="1191" w:type="dxa"/>
                <w:tcBorders>
                  <w:top w:val="nil"/>
                  <w:left w:val="nil"/>
                  <w:bottom w:val="single" w:sz="4" w:space="0" w:color="auto"/>
                  <w:right w:val="single" w:sz="4" w:space="0" w:color="auto"/>
                </w:tcBorders>
                <w:shd w:val="clear" w:color="auto" w:fill="auto"/>
                <w:noWrap/>
                <w:vAlign w:val="bottom"/>
                <w:hideMark/>
              </w:tcPr>
              <w:p w14:paraId="6577ED88"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184</w:t>
                </w:r>
              </w:p>
            </w:tc>
            <w:tc>
              <w:tcPr>
                <w:tcW w:w="1280" w:type="dxa"/>
                <w:tcBorders>
                  <w:top w:val="nil"/>
                  <w:left w:val="nil"/>
                  <w:bottom w:val="single" w:sz="4" w:space="0" w:color="auto"/>
                  <w:right w:val="single" w:sz="4" w:space="0" w:color="auto"/>
                </w:tcBorders>
                <w:shd w:val="clear" w:color="305496" w:fill="305496"/>
                <w:noWrap/>
                <w:vAlign w:val="center"/>
                <w:hideMark/>
              </w:tcPr>
              <w:p w14:paraId="44E05FEF"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270</w:t>
                </w:r>
              </w:p>
            </w:tc>
          </w:tr>
          <w:tr w:rsidR="003E03B7" w:rsidRPr="00406EBF" w14:paraId="121E336B"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5112BC48"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6CDF889"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6C48C91" w14:textId="77777777" w:rsidR="003E03B7" w:rsidRPr="00406EBF" w:rsidRDefault="003E03B7" w:rsidP="002F372B">
                <w:pPr>
                  <w:rPr>
                    <w:rFonts w:cstheme="minorHAnsi"/>
                    <w:color w:val="000000"/>
                    <w:sz w:val="19"/>
                    <w:szCs w:val="19"/>
                  </w:rPr>
                </w:pPr>
                <w:r w:rsidRPr="00406EBF">
                  <w:rPr>
                    <w:rFonts w:cstheme="minorHAnsi"/>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2D5166A0"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16</w:t>
                </w:r>
              </w:p>
            </w:tc>
            <w:tc>
              <w:tcPr>
                <w:tcW w:w="1191" w:type="dxa"/>
                <w:tcBorders>
                  <w:top w:val="nil"/>
                  <w:left w:val="nil"/>
                  <w:bottom w:val="single" w:sz="4" w:space="0" w:color="auto"/>
                  <w:right w:val="single" w:sz="4" w:space="0" w:color="auto"/>
                </w:tcBorders>
                <w:shd w:val="clear" w:color="auto" w:fill="auto"/>
                <w:noWrap/>
                <w:vAlign w:val="bottom"/>
                <w:hideMark/>
              </w:tcPr>
              <w:p w14:paraId="26DADAB3"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47</w:t>
                </w:r>
              </w:p>
            </w:tc>
            <w:tc>
              <w:tcPr>
                <w:tcW w:w="1280" w:type="dxa"/>
                <w:tcBorders>
                  <w:top w:val="nil"/>
                  <w:left w:val="nil"/>
                  <w:bottom w:val="single" w:sz="4" w:space="0" w:color="auto"/>
                  <w:right w:val="single" w:sz="4" w:space="0" w:color="auto"/>
                </w:tcBorders>
                <w:shd w:val="clear" w:color="305496" w:fill="305496"/>
                <w:noWrap/>
                <w:vAlign w:val="center"/>
                <w:hideMark/>
              </w:tcPr>
              <w:p w14:paraId="3504BEF3"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63</w:t>
                </w:r>
              </w:p>
            </w:tc>
          </w:tr>
          <w:tr w:rsidR="003E03B7" w:rsidRPr="00406EBF" w14:paraId="34BDD82B"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2BA739C2"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single" w:sz="4" w:space="0" w:color="auto"/>
                  <w:left w:val="nil"/>
                  <w:bottom w:val="single" w:sz="4" w:space="0" w:color="auto"/>
                  <w:right w:val="single" w:sz="4" w:space="0" w:color="auto"/>
                </w:tcBorders>
                <w:shd w:val="clear" w:color="000000" w:fill="FFC000"/>
                <w:noWrap/>
                <w:vAlign w:val="bottom"/>
                <w:hideMark/>
              </w:tcPr>
              <w:p w14:paraId="495F8F8F"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721330BF" w14:textId="77777777" w:rsidR="003E03B7" w:rsidRPr="00406EBF" w:rsidRDefault="003E03B7" w:rsidP="002F372B">
                <w:pPr>
                  <w:rPr>
                    <w:rFonts w:cstheme="minorHAnsi"/>
                    <w:color w:val="000000"/>
                    <w:sz w:val="19"/>
                    <w:szCs w:val="19"/>
                  </w:rPr>
                </w:pPr>
                <w:r w:rsidRPr="00406EBF">
                  <w:rPr>
                    <w:rFonts w:cstheme="minorHAnsi"/>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6541FA62"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73</w:t>
                </w:r>
              </w:p>
            </w:tc>
            <w:tc>
              <w:tcPr>
                <w:tcW w:w="1191" w:type="dxa"/>
                <w:tcBorders>
                  <w:top w:val="nil"/>
                  <w:left w:val="nil"/>
                  <w:bottom w:val="single" w:sz="4" w:space="0" w:color="auto"/>
                  <w:right w:val="single" w:sz="4" w:space="0" w:color="auto"/>
                </w:tcBorders>
                <w:shd w:val="clear" w:color="auto" w:fill="auto"/>
                <w:noWrap/>
                <w:vAlign w:val="bottom"/>
                <w:hideMark/>
              </w:tcPr>
              <w:p w14:paraId="2F2F6A21"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6</w:t>
                </w:r>
              </w:p>
            </w:tc>
            <w:tc>
              <w:tcPr>
                <w:tcW w:w="1280" w:type="dxa"/>
                <w:tcBorders>
                  <w:top w:val="nil"/>
                  <w:left w:val="nil"/>
                  <w:bottom w:val="single" w:sz="4" w:space="0" w:color="auto"/>
                  <w:right w:val="single" w:sz="4" w:space="0" w:color="auto"/>
                </w:tcBorders>
                <w:shd w:val="clear" w:color="305496" w:fill="305496"/>
                <w:noWrap/>
                <w:vAlign w:val="center"/>
                <w:hideMark/>
              </w:tcPr>
              <w:p w14:paraId="49073660"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79</w:t>
                </w:r>
              </w:p>
            </w:tc>
          </w:tr>
          <w:tr w:rsidR="003E03B7" w:rsidRPr="00406EBF" w14:paraId="7D0D7766"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721AB48C"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058D5147"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1973D25C" w14:textId="77777777" w:rsidR="003E03B7" w:rsidRPr="00406EBF" w:rsidRDefault="003E03B7" w:rsidP="002F372B">
                <w:pPr>
                  <w:rPr>
                    <w:rFonts w:cstheme="minorHAnsi"/>
                    <w:color w:val="000000"/>
                    <w:sz w:val="19"/>
                    <w:szCs w:val="19"/>
                  </w:rPr>
                </w:pPr>
                <w:r w:rsidRPr="00406EBF">
                  <w:rPr>
                    <w:rFonts w:cstheme="minorHAnsi"/>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0B59C46E"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667</w:t>
                </w:r>
              </w:p>
            </w:tc>
            <w:tc>
              <w:tcPr>
                <w:tcW w:w="1191" w:type="dxa"/>
                <w:tcBorders>
                  <w:top w:val="nil"/>
                  <w:left w:val="nil"/>
                  <w:bottom w:val="single" w:sz="4" w:space="0" w:color="auto"/>
                  <w:right w:val="single" w:sz="4" w:space="0" w:color="auto"/>
                </w:tcBorders>
                <w:shd w:val="clear" w:color="auto" w:fill="auto"/>
                <w:noWrap/>
                <w:vAlign w:val="bottom"/>
                <w:hideMark/>
              </w:tcPr>
              <w:p w14:paraId="0DD15B7F"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67</w:t>
                </w:r>
              </w:p>
            </w:tc>
            <w:tc>
              <w:tcPr>
                <w:tcW w:w="1280" w:type="dxa"/>
                <w:tcBorders>
                  <w:top w:val="nil"/>
                  <w:left w:val="nil"/>
                  <w:bottom w:val="single" w:sz="4" w:space="0" w:color="auto"/>
                  <w:right w:val="single" w:sz="4" w:space="0" w:color="auto"/>
                </w:tcBorders>
                <w:shd w:val="clear" w:color="305496" w:fill="305496"/>
                <w:noWrap/>
                <w:vAlign w:val="center"/>
                <w:hideMark/>
              </w:tcPr>
              <w:p w14:paraId="33AFDF12"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734</w:t>
                </w:r>
              </w:p>
            </w:tc>
          </w:tr>
          <w:tr w:rsidR="003E03B7" w:rsidRPr="00406EBF" w14:paraId="3049878C"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08AA774C"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0EAF602D"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9094F59"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7536019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726</w:t>
                </w:r>
              </w:p>
            </w:tc>
            <w:tc>
              <w:tcPr>
                <w:tcW w:w="1191" w:type="dxa"/>
                <w:tcBorders>
                  <w:top w:val="nil"/>
                  <w:left w:val="nil"/>
                  <w:bottom w:val="single" w:sz="4" w:space="0" w:color="auto"/>
                  <w:right w:val="single" w:sz="4" w:space="0" w:color="auto"/>
                </w:tcBorders>
                <w:shd w:val="clear" w:color="auto" w:fill="auto"/>
                <w:noWrap/>
                <w:vAlign w:val="bottom"/>
                <w:hideMark/>
              </w:tcPr>
              <w:p w14:paraId="33E7EC3A"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255</w:t>
                </w:r>
              </w:p>
            </w:tc>
            <w:tc>
              <w:tcPr>
                <w:tcW w:w="1280" w:type="dxa"/>
                <w:tcBorders>
                  <w:top w:val="nil"/>
                  <w:left w:val="nil"/>
                  <w:bottom w:val="single" w:sz="4" w:space="0" w:color="auto"/>
                  <w:right w:val="single" w:sz="4" w:space="0" w:color="auto"/>
                </w:tcBorders>
                <w:shd w:val="clear" w:color="305496" w:fill="305496"/>
                <w:noWrap/>
                <w:vAlign w:val="center"/>
                <w:hideMark/>
              </w:tcPr>
              <w:p w14:paraId="635E35F9"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981</w:t>
                </w:r>
              </w:p>
            </w:tc>
          </w:tr>
          <w:tr w:rsidR="003E03B7" w:rsidRPr="00406EBF" w14:paraId="542816A6"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0FE1C387"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6316D853"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E75D086"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08CDA5DC"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1468</w:t>
                </w:r>
              </w:p>
            </w:tc>
            <w:tc>
              <w:tcPr>
                <w:tcW w:w="1191" w:type="dxa"/>
                <w:tcBorders>
                  <w:top w:val="nil"/>
                  <w:left w:val="nil"/>
                  <w:bottom w:val="single" w:sz="4" w:space="0" w:color="auto"/>
                  <w:right w:val="single" w:sz="4" w:space="0" w:color="auto"/>
                </w:tcBorders>
                <w:shd w:val="clear" w:color="auto" w:fill="auto"/>
                <w:noWrap/>
                <w:vAlign w:val="bottom"/>
                <w:hideMark/>
              </w:tcPr>
              <w:p w14:paraId="5460A21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279</w:t>
                </w:r>
              </w:p>
            </w:tc>
            <w:tc>
              <w:tcPr>
                <w:tcW w:w="1280" w:type="dxa"/>
                <w:tcBorders>
                  <w:top w:val="nil"/>
                  <w:left w:val="nil"/>
                  <w:bottom w:val="single" w:sz="4" w:space="0" w:color="auto"/>
                  <w:right w:val="single" w:sz="4" w:space="0" w:color="auto"/>
                </w:tcBorders>
                <w:shd w:val="clear" w:color="305496" w:fill="305496"/>
                <w:noWrap/>
                <w:vAlign w:val="center"/>
                <w:hideMark/>
              </w:tcPr>
              <w:p w14:paraId="1A373CE7"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1747</w:t>
                </w:r>
              </w:p>
            </w:tc>
          </w:tr>
          <w:tr w:rsidR="003E03B7" w:rsidRPr="00406EBF" w14:paraId="1E49F69D" w14:textId="77777777" w:rsidTr="002F372B">
            <w:trPr>
              <w:trHeight w:val="260"/>
            </w:trPr>
            <w:tc>
              <w:tcPr>
                <w:tcW w:w="2060" w:type="dxa"/>
                <w:tcBorders>
                  <w:top w:val="single" w:sz="4" w:space="0" w:color="auto"/>
                  <w:left w:val="single" w:sz="4" w:space="0" w:color="auto"/>
                  <w:bottom w:val="single" w:sz="4" w:space="0" w:color="auto"/>
                  <w:right w:val="nil"/>
                </w:tcBorders>
                <w:shd w:val="clear" w:color="8EA9DB" w:fill="FFC000"/>
                <w:noWrap/>
                <w:vAlign w:val="bottom"/>
                <w:hideMark/>
              </w:tcPr>
              <w:p w14:paraId="20F9C901"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Total DGJ</w:t>
                </w:r>
              </w:p>
            </w:tc>
            <w:tc>
              <w:tcPr>
                <w:tcW w:w="2217" w:type="dxa"/>
                <w:tcBorders>
                  <w:top w:val="single" w:sz="4" w:space="0" w:color="auto"/>
                  <w:left w:val="single" w:sz="4" w:space="0" w:color="auto"/>
                  <w:bottom w:val="single" w:sz="4" w:space="0" w:color="auto"/>
                  <w:right w:val="nil"/>
                </w:tcBorders>
                <w:shd w:val="clear" w:color="8EA9DB" w:fill="FFC000"/>
                <w:noWrap/>
                <w:vAlign w:val="bottom"/>
                <w:hideMark/>
              </w:tcPr>
              <w:p w14:paraId="29A0F804"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125" w:type="dxa"/>
                <w:tcBorders>
                  <w:top w:val="nil"/>
                  <w:left w:val="single" w:sz="4" w:space="0" w:color="auto"/>
                  <w:bottom w:val="single" w:sz="4" w:space="0" w:color="auto"/>
                  <w:right w:val="single" w:sz="4" w:space="0" w:color="auto"/>
                </w:tcBorders>
                <w:shd w:val="clear" w:color="8EA9DB" w:fill="FFC000"/>
                <w:noWrap/>
                <w:vAlign w:val="bottom"/>
                <w:hideMark/>
              </w:tcPr>
              <w:p w14:paraId="1F578453"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267" w:type="dxa"/>
                <w:tcBorders>
                  <w:top w:val="nil"/>
                  <w:left w:val="nil"/>
                  <w:bottom w:val="single" w:sz="4" w:space="0" w:color="auto"/>
                  <w:right w:val="single" w:sz="4" w:space="0" w:color="auto"/>
                </w:tcBorders>
                <w:shd w:val="clear" w:color="8EA9DB" w:fill="FFC000"/>
                <w:noWrap/>
                <w:vAlign w:val="bottom"/>
                <w:hideMark/>
              </w:tcPr>
              <w:p w14:paraId="7B7C39F1"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3132</w:t>
                </w:r>
              </w:p>
            </w:tc>
            <w:tc>
              <w:tcPr>
                <w:tcW w:w="1191" w:type="dxa"/>
                <w:tcBorders>
                  <w:top w:val="nil"/>
                  <w:left w:val="nil"/>
                  <w:bottom w:val="single" w:sz="4" w:space="0" w:color="auto"/>
                  <w:right w:val="single" w:sz="4" w:space="0" w:color="auto"/>
                </w:tcBorders>
                <w:shd w:val="clear" w:color="8EA9DB" w:fill="FFC000"/>
                <w:noWrap/>
                <w:vAlign w:val="bottom"/>
                <w:hideMark/>
              </w:tcPr>
              <w:p w14:paraId="67C7D1ED"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981</w:t>
                </w:r>
              </w:p>
            </w:tc>
            <w:tc>
              <w:tcPr>
                <w:tcW w:w="1280" w:type="dxa"/>
                <w:tcBorders>
                  <w:top w:val="nil"/>
                  <w:left w:val="nil"/>
                  <w:bottom w:val="single" w:sz="4" w:space="0" w:color="auto"/>
                  <w:right w:val="single" w:sz="4" w:space="0" w:color="auto"/>
                </w:tcBorders>
                <w:shd w:val="clear" w:color="8EA9DB" w:fill="FFC000"/>
                <w:noWrap/>
                <w:vAlign w:val="bottom"/>
                <w:hideMark/>
              </w:tcPr>
              <w:p w14:paraId="77CD6934"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4113</w:t>
                </w:r>
              </w:p>
            </w:tc>
          </w:tr>
          <w:tr w:rsidR="003E03B7" w:rsidRPr="00406EBF" w14:paraId="03958BFF" w14:textId="77777777" w:rsidTr="002F372B">
            <w:trPr>
              <w:trHeight w:val="260"/>
            </w:trPr>
            <w:tc>
              <w:tcPr>
                <w:tcW w:w="2060" w:type="dxa"/>
                <w:tcBorders>
                  <w:top w:val="single" w:sz="4" w:space="0" w:color="8EA9DB"/>
                  <w:left w:val="nil"/>
                  <w:bottom w:val="single" w:sz="4" w:space="0" w:color="D9E1F2"/>
                  <w:right w:val="nil"/>
                </w:tcBorders>
                <w:shd w:val="clear" w:color="8EA9DB" w:fill="FF0000"/>
                <w:noWrap/>
                <w:vAlign w:val="bottom"/>
                <w:hideMark/>
              </w:tcPr>
              <w:p w14:paraId="1686AF4B"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DGR</w:t>
                </w:r>
              </w:p>
            </w:tc>
            <w:tc>
              <w:tcPr>
                <w:tcW w:w="2217" w:type="dxa"/>
                <w:tcBorders>
                  <w:top w:val="nil"/>
                  <w:left w:val="single" w:sz="4" w:space="0" w:color="auto"/>
                  <w:bottom w:val="single" w:sz="4" w:space="0" w:color="auto"/>
                  <w:right w:val="single" w:sz="4" w:space="0" w:color="auto"/>
                </w:tcBorders>
                <w:shd w:val="clear" w:color="000000" w:fill="FF0000"/>
                <w:noWrap/>
                <w:vAlign w:val="bottom"/>
                <w:hideMark/>
              </w:tcPr>
              <w:p w14:paraId="47FF83F2"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3075C17E" w14:textId="77777777" w:rsidR="003E03B7" w:rsidRPr="00406EBF" w:rsidRDefault="003E03B7" w:rsidP="002F372B">
                <w:pPr>
                  <w:rPr>
                    <w:rFonts w:cstheme="minorHAnsi"/>
                    <w:color w:val="000000"/>
                    <w:sz w:val="19"/>
                    <w:szCs w:val="19"/>
                  </w:rPr>
                </w:pPr>
                <w:r w:rsidRPr="00406EBF">
                  <w:rPr>
                    <w:rFonts w:cstheme="minorHAnsi"/>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308CCBCD"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148</w:t>
                </w:r>
              </w:p>
            </w:tc>
            <w:tc>
              <w:tcPr>
                <w:tcW w:w="1191" w:type="dxa"/>
                <w:tcBorders>
                  <w:top w:val="nil"/>
                  <w:left w:val="nil"/>
                  <w:bottom w:val="single" w:sz="4" w:space="0" w:color="auto"/>
                  <w:right w:val="single" w:sz="4" w:space="0" w:color="auto"/>
                </w:tcBorders>
                <w:shd w:val="clear" w:color="auto" w:fill="auto"/>
                <w:noWrap/>
                <w:vAlign w:val="bottom"/>
                <w:hideMark/>
              </w:tcPr>
              <w:p w14:paraId="247346D3"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220</w:t>
                </w:r>
              </w:p>
            </w:tc>
            <w:tc>
              <w:tcPr>
                <w:tcW w:w="1280" w:type="dxa"/>
                <w:tcBorders>
                  <w:top w:val="nil"/>
                  <w:left w:val="nil"/>
                  <w:bottom w:val="single" w:sz="4" w:space="0" w:color="auto"/>
                  <w:right w:val="single" w:sz="4" w:space="0" w:color="auto"/>
                </w:tcBorders>
                <w:shd w:val="clear" w:color="305496" w:fill="305496"/>
                <w:noWrap/>
                <w:vAlign w:val="center"/>
                <w:hideMark/>
              </w:tcPr>
              <w:p w14:paraId="7570CDD6"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368</w:t>
                </w:r>
              </w:p>
            </w:tc>
          </w:tr>
          <w:tr w:rsidR="003E03B7" w:rsidRPr="00406EBF" w14:paraId="1F51C68A" w14:textId="77777777" w:rsidTr="002F372B">
            <w:trPr>
              <w:trHeight w:val="260"/>
            </w:trPr>
            <w:tc>
              <w:tcPr>
                <w:tcW w:w="2060" w:type="dxa"/>
                <w:tcBorders>
                  <w:top w:val="single" w:sz="4" w:space="0" w:color="auto"/>
                  <w:left w:val="single" w:sz="4" w:space="0" w:color="auto"/>
                  <w:bottom w:val="nil"/>
                  <w:right w:val="single" w:sz="4" w:space="0" w:color="auto"/>
                </w:tcBorders>
                <w:shd w:val="clear" w:color="auto" w:fill="auto"/>
                <w:noWrap/>
                <w:vAlign w:val="bottom"/>
                <w:hideMark/>
              </w:tcPr>
              <w:p w14:paraId="1B2875DA"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7A3DF938"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68ECF0F" w14:textId="77777777" w:rsidR="003E03B7" w:rsidRPr="00406EBF" w:rsidRDefault="003E03B7" w:rsidP="002F372B">
                <w:pPr>
                  <w:rPr>
                    <w:rFonts w:cstheme="minorHAnsi"/>
                    <w:color w:val="000000"/>
                    <w:sz w:val="19"/>
                    <w:szCs w:val="19"/>
                  </w:rPr>
                </w:pPr>
                <w:r w:rsidRPr="00406EBF">
                  <w:rPr>
                    <w:rFonts w:cstheme="minorHAnsi"/>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1FAA33B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129</w:t>
                </w:r>
              </w:p>
            </w:tc>
            <w:tc>
              <w:tcPr>
                <w:tcW w:w="1191" w:type="dxa"/>
                <w:tcBorders>
                  <w:top w:val="nil"/>
                  <w:left w:val="nil"/>
                  <w:bottom w:val="single" w:sz="4" w:space="0" w:color="auto"/>
                  <w:right w:val="single" w:sz="4" w:space="0" w:color="auto"/>
                </w:tcBorders>
                <w:shd w:val="clear" w:color="auto" w:fill="auto"/>
                <w:noWrap/>
                <w:vAlign w:val="bottom"/>
                <w:hideMark/>
              </w:tcPr>
              <w:p w14:paraId="5F8EAEF9"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156</w:t>
                </w:r>
              </w:p>
            </w:tc>
            <w:tc>
              <w:tcPr>
                <w:tcW w:w="1280" w:type="dxa"/>
                <w:tcBorders>
                  <w:top w:val="nil"/>
                  <w:left w:val="nil"/>
                  <w:bottom w:val="single" w:sz="4" w:space="0" w:color="auto"/>
                  <w:right w:val="single" w:sz="4" w:space="0" w:color="auto"/>
                </w:tcBorders>
                <w:shd w:val="clear" w:color="305496" w:fill="305496"/>
                <w:noWrap/>
                <w:vAlign w:val="center"/>
                <w:hideMark/>
              </w:tcPr>
              <w:p w14:paraId="7FDB68D6"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285</w:t>
                </w:r>
              </w:p>
            </w:tc>
          </w:tr>
          <w:tr w:rsidR="003E03B7" w:rsidRPr="00406EBF" w14:paraId="780CC92C"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1F3A6C15"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1F513434"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94C68D0" w14:textId="77777777" w:rsidR="003E03B7" w:rsidRPr="00406EBF" w:rsidRDefault="003E03B7" w:rsidP="002F372B">
                <w:pPr>
                  <w:rPr>
                    <w:rFonts w:cstheme="minorHAnsi"/>
                    <w:color w:val="000000"/>
                    <w:sz w:val="19"/>
                    <w:szCs w:val="19"/>
                  </w:rPr>
                </w:pPr>
                <w:r w:rsidRPr="00406EBF">
                  <w:rPr>
                    <w:rFonts w:cstheme="minorHAnsi"/>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535DB6B3"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136</w:t>
                </w:r>
              </w:p>
            </w:tc>
            <w:tc>
              <w:tcPr>
                <w:tcW w:w="1191" w:type="dxa"/>
                <w:tcBorders>
                  <w:top w:val="nil"/>
                  <w:left w:val="nil"/>
                  <w:bottom w:val="single" w:sz="4" w:space="0" w:color="auto"/>
                  <w:right w:val="single" w:sz="4" w:space="0" w:color="auto"/>
                </w:tcBorders>
                <w:shd w:val="clear" w:color="auto" w:fill="auto"/>
                <w:noWrap/>
                <w:vAlign w:val="bottom"/>
                <w:hideMark/>
              </w:tcPr>
              <w:p w14:paraId="4D36C14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143</w:t>
                </w:r>
              </w:p>
            </w:tc>
            <w:tc>
              <w:tcPr>
                <w:tcW w:w="1280" w:type="dxa"/>
                <w:tcBorders>
                  <w:top w:val="nil"/>
                  <w:left w:val="nil"/>
                  <w:bottom w:val="single" w:sz="4" w:space="0" w:color="auto"/>
                  <w:right w:val="single" w:sz="4" w:space="0" w:color="auto"/>
                </w:tcBorders>
                <w:shd w:val="clear" w:color="305496" w:fill="305496"/>
                <w:noWrap/>
                <w:vAlign w:val="center"/>
                <w:hideMark/>
              </w:tcPr>
              <w:p w14:paraId="48A188E0"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279</w:t>
                </w:r>
              </w:p>
            </w:tc>
          </w:tr>
          <w:tr w:rsidR="003E03B7" w:rsidRPr="00406EBF" w14:paraId="423A96DB"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1D8E87FC"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000390B6"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23D35881" w14:textId="77777777" w:rsidR="003E03B7" w:rsidRPr="00406EBF" w:rsidRDefault="003E03B7" w:rsidP="002F372B">
                <w:pPr>
                  <w:rPr>
                    <w:rFonts w:cstheme="minorHAnsi"/>
                    <w:color w:val="000000"/>
                    <w:sz w:val="19"/>
                    <w:szCs w:val="19"/>
                  </w:rPr>
                </w:pPr>
                <w:r w:rsidRPr="00406EBF">
                  <w:rPr>
                    <w:rFonts w:cstheme="minorHAnsi"/>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7DF7242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116</w:t>
                </w:r>
              </w:p>
            </w:tc>
            <w:tc>
              <w:tcPr>
                <w:tcW w:w="1191" w:type="dxa"/>
                <w:tcBorders>
                  <w:top w:val="nil"/>
                  <w:left w:val="nil"/>
                  <w:bottom w:val="single" w:sz="4" w:space="0" w:color="auto"/>
                  <w:right w:val="single" w:sz="4" w:space="0" w:color="auto"/>
                </w:tcBorders>
                <w:shd w:val="clear" w:color="auto" w:fill="auto"/>
                <w:noWrap/>
                <w:vAlign w:val="bottom"/>
                <w:hideMark/>
              </w:tcPr>
              <w:p w14:paraId="0D32EB4A"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44</w:t>
                </w:r>
              </w:p>
            </w:tc>
            <w:tc>
              <w:tcPr>
                <w:tcW w:w="1280" w:type="dxa"/>
                <w:tcBorders>
                  <w:top w:val="nil"/>
                  <w:left w:val="nil"/>
                  <w:bottom w:val="single" w:sz="4" w:space="0" w:color="auto"/>
                  <w:right w:val="single" w:sz="4" w:space="0" w:color="auto"/>
                </w:tcBorders>
                <w:shd w:val="clear" w:color="305496" w:fill="305496"/>
                <w:noWrap/>
                <w:vAlign w:val="center"/>
                <w:hideMark/>
              </w:tcPr>
              <w:p w14:paraId="75791C2B"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160</w:t>
                </w:r>
              </w:p>
            </w:tc>
          </w:tr>
          <w:tr w:rsidR="003E03B7" w:rsidRPr="00406EBF" w14:paraId="48B73B61"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5CBA2580"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single" w:sz="4" w:space="0" w:color="auto"/>
                  <w:left w:val="nil"/>
                  <w:bottom w:val="single" w:sz="4" w:space="0" w:color="auto"/>
                  <w:right w:val="single" w:sz="4" w:space="0" w:color="auto"/>
                </w:tcBorders>
                <w:shd w:val="clear" w:color="000000" w:fill="FF0000"/>
                <w:noWrap/>
                <w:vAlign w:val="bottom"/>
                <w:hideMark/>
              </w:tcPr>
              <w:p w14:paraId="6C3D8673"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0F5BD9A6" w14:textId="77777777" w:rsidR="003E03B7" w:rsidRPr="00406EBF" w:rsidRDefault="003E03B7" w:rsidP="002F372B">
                <w:pPr>
                  <w:rPr>
                    <w:rFonts w:cstheme="minorHAnsi"/>
                    <w:color w:val="000000"/>
                    <w:sz w:val="19"/>
                    <w:szCs w:val="19"/>
                  </w:rPr>
                </w:pPr>
                <w:r w:rsidRPr="00406EBF">
                  <w:rPr>
                    <w:rFonts w:cstheme="minorHAnsi"/>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51B9701F"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21</w:t>
                </w:r>
              </w:p>
            </w:tc>
            <w:tc>
              <w:tcPr>
                <w:tcW w:w="1191" w:type="dxa"/>
                <w:tcBorders>
                  <w:top w:val="nil"/>
                  <w:left w:val="nil"/>
                  <w:bottom w:val="single" w:sz="4" w:space="0" w:color="auto"/>
                  <w:right w:val="single" w:sz="4" w:space="0" w:color="auto"/>
                </w:tcBorders>
                <w:shd w:val="clear" w:color="auto" w:fill="auto"/>
                <w:noWrap/>
                <w:vAlign w:val="bottom"/>
                <w:hideMark/>
              </w:tcPr>
              <w:p w14:paraId="520F45A7"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4</w:t>
                </w:r>
              </w:p>
            </w:tc>
            <w:tc>
              <w:tcPr>
                <w:tcW w:w="1280" w:type="dxa"/>
                <w:tcBorders>
                  <w:top w:val="nil"/>
                  <w:left w:val="nil"/>
                  <w:bottom w:val="single" w:sz="4" w:space="0" w:color="auto"/>
                  <w:right w:val="single" w:sz="4" w:space="0" w:color="auto"/>
                </w:tcBorders>
                <w:shd w:val="clear" w:color="305496" w:fill="305496"/>
                <w:noWrap/>
                <w:vAlign w:val="center"/>
                <w:hideMark/>
              </w:tcPr>
              <w:p w14:paraId="2EF00331"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25</w:t>
                </w:r>
              </w:p>
            </w:tc>
          </w:tr>
          <w:tr w:rsidR="003E03B7" w:rsidRPr="00406EBF" w14:paraId="10900F58"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386DC424"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660A72FD"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9EA52EA" w14:textId="77777777" w:rsidR="003E03B7" w:rsidRPr="00406EBF" w:rsidRDefault="003E03B7" w:rsidP="002F372B">
                <w:pPr>
                  <w:rPr>
                    <w:rFonts w:cstheme="minorHAnsi"/>
                    <w:color w:val="000000"/>
                    <w:sz w:val="19"/>
                    <w:szCs w:val="19"/>
                  </w:rPr>
                </w:pPr>
                <w:r w:rsidRPr="00406EBF">
                  <w:rPr>
                    <w:rFonts w:cstheme="minorHAnsi"/>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6D7BB04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64</w:t>
                </w:r>
              </w:p>
            </w:tc>
            <w:tc>
              <w:tcPr>
                <w:tcW w:w="1191" w:type="dxa"/>
                <w:tcBorders>
                  <w:top w:val="nil"/>
                  <w:left w:val="nil"/>
                  <w:bottom w:val="single" w:sz="4" w:space="0" w:color="auto"/>
                  <w:right w:val="single" w:sz="4" w:space="0" w:color="auto"/>
                </w:tcBorders>
                <w:shd w:val="clear" w:color="auto" w:fill="auto"/>
                <w:noWrap/>
                <w:vAlign w:val="bottom"/>
                <w:hideMark/>
              </w:tcPr>
              <w:p w14:paraId="3D266265"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10</w:t>
                </w:r>
              </w:p>
            </w:tc>
            <w:tc>
              <w:tcPr>
                <w:tcW w:w="1280" w:type="dxa"/>
                <w:tcBorders>
                  <w:top w:val="nil"/>
                  <w:left w:val="nil"/>
                  <w:bottom w:val="single" w:sz="4" w:space="0" w:color="auto"/>
                  <w:right w:val="single" w:sz="4" w:space="0" w:color="auto"/>
                </w:tcBorders>
                <w:shd w:val="clear" w:color="305496" w:fill="305496"/>
                <w:noWrap/>
                <w:vAlign w:val="center"/>
                <w:hideMark/>
              </w:tcPr>
              <w:p w14:paraId="04998500"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74</w:t>
                </w:r>
              </w:p>
            </w:tc>
          </w:tr>
          <w:tr w:rsidR="003E03B7" w:rsidRPr="00406EBF" w14:paraId="58E57C2D"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01A95B3E"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91E1CCF"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3440F62"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150F1445"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125</w:t>
                </w:r>
              </w:p>
            </w:tc>
            <w:tc>
              <w:tcPr>
                <w:tcW w:w="1191" w:type="dxa"/>
                <w:tcBorders>
                  <w:top w:val="nil"/>
                  <w:left w:val="nil"/>
                  <w:bottom w:val="single" w:sz="4" w:space="0" w:color="auto"/>
                  <w:right w:val="single" w:sz="4" w:space="0" w:color="auto"/>
                </w:tcBorders>
                <w:shd w:val="clear" w:color="auto" w:fill="auto"/>
                <w:noWrap/>
                <w:vAlign w:val="bottom"/>
                <w:hideMark/>
              </w:tcPr>
              <w:p w14:paraId="7E8963AB"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29</w:t>
                </w:r>
              </w:p>
            </w:tc>
            <w:tc>
              <w:tcPr>
                <w:tcW w:w="1280" w:type="dxa"/>
                <w:tcBorders>
                  <w:top w:val="nil"/>
                  <w:left w:val="nil"/>
                  <w:bottom w:val="single" w:sz="4" w:space="0" w:color="auto"/>
                  <w:right w:val="single" w:sz="4" w:space="0" w:color="auto"/>
                </w:tcBorders>
                <w:shd w:val="clear" w:color="305496" w:fill="305496"/>
                <w:noWrap/>
                <w:vAlign w:val="center"/>
                <w:hideMark/>
              </w:tcPr>
              <w:p w14:paraId="77C197B2"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154</w:t>
                </w:r>
              </w:p>
            </w:tc>
          </w:tr>
          <w:tr w:rsidR="003E03B7" w:rsidRPr="00406EBF" w14:paraId="417AE381"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76D9B591" w14:textId="77777777" w:rsidR="003E03B7" w:rsidRPr="00406EBF" w:rsidRDefault="003E03B7" w:rsidP="002F372B">
                <w:pPr>
                  <w:rPr>
                    <w:rFonts w:cstheme="minorHAnsi"/>
                    <w:color w:val="000000"/>
                    <w:sz w:val="19"/>
                    <w:szCs w:val="19"/>
                  </w:rPr>
                </w:pPr>
                <w:r w:rsidRPr="00406EBF">
                  <w:rPr>
                    <w:rFonts w:cstheme="minorHAnsi"/>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1917791C" w14:textId="77777777" w:rsidR="003E03B7" w:rsidRPr="00406EBF" w:rsidRDefault="003E03B7" w:rsidP="002F372B">
                <w:pPr>
                  <w:rPr>
                    <w:rFonts w:cstheme="minorHAnsi"/>
                    <w:b/>
                    <w:bCs/>
                    <w:color w:val="000000"/>
                    <w:sz w:val="19"/>
                    <w:szCs w:val="19"/>
                  </w:rPr>
                </w:pPr>
                <w:r w:rsidRPr="00406EBF">
                  <w:rPr>
                    <w:rFonts w:cstheme="minorHAnsi"/>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48DDD59" w14:textId="77777777" w:rsidR="003E03B7" w:rsidRPr="00406EBF" w:rsidRDefault="003E03B7" w:rsidP="002F372B">
                <w:pPr>
                  <w:rPr>
                    <w:rFonts w:cstheme="minorHAnsi"/>
                    <w:color w:val="000000"/>
                    <w:sz w:val="19"/>
                    <w:szCs w:val="19"/>
                  </w:rPr>
                </w:pPr>
                <w:r w:rsidRPr="00406EBF">
                  <w:rPr>
                    <w:rFonts w:cstheme="minorHAnsi"/>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41715F52"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108</w:t>
                </w:r>
              </w:p>
            </w:tc>
            <w:tc>
              <w:tcPr>
                <w:tcW w:w="1191" w:type="dxa"/>
                <w:tcBorders>
                  <w:top w:val="nil"/>
                  <w:left w:val="nil"/>
                  <w:bottom w:val="single" w:sz="4" w:space="0" w:color="auto"/>
                  <w:right w:val="single" w:sz="4" w:space="0" w:color="auto"/>
                </w:tcBorders>
                <w:shd w:val="clear" w:color="auto" w:fill="auto"/>
                <w:noWrap/>
                <w:vAlign w:val="bottom"/>
                <w:hideMark/>
              </w:tcPr>
              <w:p w14:paraId="3562AB46" w14:textId="77777777" w:rsidR="003E03B7" w:rsidRPr="00406EBF" w:rsidRDefault="003E03B7" w:rsidP="002F372B">
                <w:pPr>
                  <w:jc w:val="center"/>
                  <w:rPr>
                    <w:rFonts w:cstheme="minorHAnsi"/>
                    <w:color w:val="000000"/>
                    <w:sz w:val="19"/>
                    <w:szCs w:val="19"/>
                  </w:rPr>
                </w:pPr>
                <w:r w:rsidRPr="00406EBF">
                  <w:rPr>
                    <w:rFonts w:cstheme="minorHAnsi"/>
                    <w:color w:val="000000"/>
                    <w:sz w:val="19"/>
                    <w:szCs w:val="19"/>
                  </w:rPr>
                  <w:t>16</w:t>
                </w:r>
              </w:p>
            </w:tc>
            <w:tc>
              <w:tcPr>
                <w:tcW w:w="1280" w:type="dxa"/>
                <w:tcBorders>
                  <w:top w:val="nil"/>
                  <w:left w:val="nil"/>
                  <w:bottom w:val="single" w:sz="4" w:space="0" w:color="auto"/>
                  <w:right w:val="single" w:sz="4" w:space="0" w:color="auto"/>
                </w:tcBorders>
                <w:shd w:val="clear" w:color="305496" w:fill="305496"/>
                <w:noWrap/>
                <w:vAlign w:val="center"/>
                <w:hideMark/>
              </w:tcPr>
              <w:p w14:paraId="25517825" w14:textId="77777777" w:rsidR="003E03B7" w:rsidRPr="00406EBF" w:rsidRDefault="003E03B7" w:rsidP="002F372B">
                <w:pPr>
                  <w:jc w:val="center"/>
                  <w:rPr>
                    <w:rFonts w:cstheme="minorHAnsi"/>
                    <w:color w:val="FFFFFF"/>
                    <w:sz w:val="19"/>
                    <w:szCs w:val="19"/>
                  </w:rPr>
                </w:pPr>
                <w:r w:rsidRPr="00406EBF">
                  <w:rPr>
                    <w:rFonts w:cstheme="minorHAnsi"/>
                    <w:color w:val="FFFFFF"/>
                    <w:sz w:val="19"/>
                    <w:szCs w:val="19"/>
                  </w:rPr>
                  <w:t>124</w:t>
                </w:r>
              </w:p>
            </w:tc>
          </w:tr>
          <w:tr w:rsidR="003E03B7" w:rsidRPr="00406EBF" w14:paraId="7C1FCED6" w14:textId="77777777" w:rsidTr="002F372B">
            <w:trPr>
              <w:trHeight w:val="260"/>
            </w:trPr>
            <w:tc>
              <w:tcPr>
                <w:tcW w:w="2060" w:type="dxa"/>
                <w:tcBorders>
                  <w:top w:val="single" w:sz="4" w:space="0" w:color="auto"/>
                  <w:left w:val="single" w:sz="4" w:space="0" w:color="auto"/>
                  <w:bottom w:val="single" w:sz="4" w:space="0" w:color="auto"/>
                  <w:right w:val="nil"/>
                </w:tcBorders>
                <w:shd w:val="clear" w:color="8EA9DB" w:fill="FF0000"/>
                <w:noWrap/>
                <w:vAlign w:val="bottom"/>
                <w:hideMark/>
              </w:tcPr>
              <w:p w14:paraId="2276B151"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Total DGR</w:t>
                </w:r>
              </w:p>
            </w:tc>
            <w:tc>
              <w:tcPr>
                <w:tcW w:w="2217" w:type="dxa"/>
                <w:tcBorders>
                  <w:top w:val="single" w:sz="4" w:space="0" w:color="auto"/>
                  <w:left w:val="single" w:sz="4" w:space="0" w:color="auto"/>
                  <w:bottom w:val="single" w:sz="4" w:space="0" w:color="auto"/>
                  <w:right w:val="single" w:sz="4" w:space="0" w:color="auto"/>
                </w:tcBorders>
                <w:shd w:val="clear" w:color="8EA9DB" w:fill="FF0000"/>
                <w:noWrap/>
                <w:vAlign w:val="bottom"/>
                <w:hideMark/>
              </w:tcPr>
              <w:p w14:paraId="3E7D4804"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125" w:type="dxa"/>
                <w:tcBorders>
                  <w:top w:val="nil"/>
                  <w:left w:val="nil"/>
                  <w:bottom w:val="single" w:sz="4" w:space="0" w:color="auto"/>
                  <w:right w:val="single" w:sz="4" w:space="0" w:color="auto"/>
                </w:tcBorders>
                <w:shd w:val="clear" w:color="8EA9DB" w:fill="FF0000"/>
                <w:noWrap/>
                <w:vAlign w:val="bottom"/>
                <w:hideMark/>
              </w:tcPr>
              <w:p w14:paraId="6740A841"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267" w:type="dxa"/>
                <w:tcBorders>
                  <w:top w:val="nil"/>
                  <w:left w:val="nil"/>
                  <w:bottom w:val="single" w:sz="4" w:space="0" w:color="auto"/>
                  <w:right w:val="single" w:sz="4" w:space="0" w:color="auto"/>
                </w:tcBorders>
                <w:shd w:val="clear" w:color="8EA9DB" w:fill="FF0000"/>
                <w:noWrap/>
                <w:vAlign w:val="bottom"/>
                <w:hideMark/>
              </w:tcPr>
              <w:p w14:paraId="3683A78C"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847</w:t>
                </w:r>
              </w:p>
            </w:tc>
            <w:tc>
              <w:tcPr>
                <w:tcW w:w="1191" w:type="dxa"/>
                <w:tcBorders>
                  <w:top w:val="nil"/>
                  <w:left w:val="nil"/>
                  <w:bottom w:val="single" w:sz="4" w:space="0" w:color="auto"/>
                  <w:right w:val="single" w:sz="4" w:space="0" w:color="auto"/>
                </w:tcBorders>
                <w:shd w:val="clear" w:color="8EA9DB" w:fill="FF0000"/>
                <w:noWrap/>
                <w:vAlign w:val="bottom"/>
                <w:hideMark/>
              </w:tcPr>
              <w:p w14:paraId="73BF68D8"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622</w:t>
                </w:r>
              </w:p>
            </w:tc>
            <w:tc>
              <w:tcPr>
                <w:tcW w:w="1280" w:type="dxa"/>
                <w:tcBorders>
                  <w:top w:val="nil"/>
                  <w:left w:val="nil"/>
                  <w:bottom w:val="single" w:sz="4" w:space="0" w:color="auto"/>
                  <w:right w:val="single" w:sz="4" w:space="0" w:color="auto"/>
                </w:tcBorders>
                <w:shd w:val="clear" w:color="8EA9DB" w:fill="FF0000"/>
                <w:noWrap/>
                <w:vAlign w:val="bottom"/>
                <w:hideMark/>
              </w:tcPr>
              <w:p w14:paraId="11260F26"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1469</w:t>
                </w:r>
              </w:p>
            </w:tc>
          </w:tr>
          <w:tr w:rsidR="003E03B7" w:rsidRPr="00406EBF" w14:paraId="1D37BE3E" w14:textId="77777777" w:rsidTr="002F372B">
            <w:trPr>
              <w:trHeight w:val="260"/>
            </w:trPr>
            <w:tc>
              <w:tcPr>
                <w:tcW w:w="2060" w:type="dxa"/>
                <w:tcBorders>
                  <w:top w:val="nil"/>
                  <w:left w:val="single" w:sz="4" w:space="0" w:color="auto"/>
                  <w:bottom w:val="single" w:sz="4" w:space="0" w:color="auto"/>
                  <w:right w:val="single" w:sz="4" w:space="0" w:color="auto"/>
                </w:tcBorders>
                <w:shd w:val="clear" w:color="305496" w:fill="305496"/>
                <w:noWrap/>
                <w:vAlign w:val="bottom"/>
                <w:hideMark/>
              </w:tcPr>
              <w:p w14:paraId="6B4EE41F"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Total général</w:t>
                </w:r>
              </w:p>
            </w:tc>
            <w:tc>
              <w:tcPr>
                <w:tcW w:w="2217" w:type="dxa"/>
                <w:tcBorders>
                  <w:top w:val="nil"/>
                  <w:left w:val="nil"/>
                  <w:bottom w:val="single" w:sz="4" w:space="0" w:color="auto"/>
                  <w:right w:val="single" w:sz="4" w:space="0" w:color="auto"/>
                </w:tcBorders>
                <w:shd w:val="clear" w:color="305496" w:fill="305496"/>
                <w:noWrap/>
                <w:vAlign w:val="bottom"/>
                <w:hideMark/>
              </w:tcPr>
              <w:p w14:paraId="4C92672E"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125" w:type="dxa"/>
                <w:tcBorders>
                  <w:top w:val="nil"/>
                  <w:left w:val="nil"/>
                  <w:bottom w:val="single" w:sz="4" w:space="0" w:color="auto"/>
                  <w:right w:val="single" w:sz="4" w:space="0" w:color="auto"/>
                </w:tcBorders>
                <w:shd w:val="clear" w:color="305496" w:fill="305496"/>
                <w:noWrap/>
                <w:vAlign w:val="bottom"/>
                <w:hideMark/>
              </w:tcPr>
              <w:p w14:paraId="278D3B89" w14:textId="77777777" w:rsidR="003E03B7" w:rsidRPr="00406EBF" w:rsidRDefault="003E03B7" w:rsidP="002F372B">
                <w:pPr>
                  <w:rPr>
                    <w:rFonts w:cstheme="minorHAnsi"/>
                    <w:b/>
                    <w:bCs/>
                    <w:color w:val="FFFFFF"/>
                    <w:sz w:val="19"/>
                    <w:szCs w:val="19"/>
                  </w:rPr>
                </w:pPr>
                <w:r w:rsidRPr="00406EBF">
                  <w:rPr>
                    <w:rFonts w:cstheme="minorHAnsi"/>
                    <w:b/>
                    <w:bCs/>
                    <w:color w:val="FFFFFF"/>
                    <w:sz w:val="19"/>
                    <w:szCs w:val="19"/>
                  </w:rPr>
                  <w:t> </w:t>
                </w:r>
              </w:p>
            </w:tc>
            <w:tc>
              <w:tcPr>
                <w:tcW w:w="1267" w:type="dxa"/>
                <w:tcBorders>
                  <w:top w:val="nil"/>
                  <w:left w:val="nil"/>
                  <w:bottom w:val="single" w:sz="4" w:space="0" w:color="auto"/>
                  <w:right w:val="single" w:sz="4" w:space="0" w:color="auto"/>
                </w:tcBorders>
                <w:shd w:val="clear" w:color="305496" w:fill="305496"/>
                <w:noWrap/>
                <w:vAlign w:val="bottom"/>
                <w:hideMark/>
              </w:tcPr>
              <w:p w14:paraId="7031B8DB"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8855</w:t>
                </w:r>
              </w:p>
            </w:tc>
            <w:tc>
              <w:tcPr>
                <w:tcW w:w="1191" w:type="dxa"/>
                <w:tcBorders>
                  <w:top w:val="nil"/>
                  <w:left w:val="nil"/>
                  <w:bottom w:val="single" w:sz="4" w:space="0" w:color="auto"/>
                  <w:right w:val="single" w:sz="4" w:space="0" w:color="auto"/>
                </w:tcBorders>
                <w:shd w:val="clear" w:color="305496" w:fill="305496"/>
                <w:noWrap/>
                <w:vAlign w:val="center"/>
                <w:hideMark/>
              </w:tcPr>
              <w:p w14:paraId="3E8D8B57"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3290</w:t>
                </w:r>
              </w:p>
            </w:tc>
            <w:tc>
              <w:tcPr>
                <w:tcW w:w="1280" w:type="dxa"/>
                <w:tcBorders>
                  <w:top w:val="nil"/>
                  <w:left w:val="nil"/>
                  <w:bottom w:val="single" w:sz="4" w:space="0" w:color="auto"/>
                  <w:right w:val="single" w:sz="4" w:space="0" w:color="auto"/>
                </w:tcBorders>
                <w:shd w:val="clear" w:color="305496" w:fill="305496"/>
                <w:noWrap/>
                <w:vAlign w:val="bottom"/>
                <w:hideMark/>
              </w:tcPr>
              <w:p w14:paraId="57276418" w14:textId="77777777" w:rsidR="003E03B7" w:rsidRPr="00406EBF" w:rsidRDefault="003E03B7" w:rsidP="002F372B">
                <w:pPr>
                  <w:jc w:val="center"/>
                  <w:rPr>
                    <w:rFonts w:cstheme="minorHAnsi"/>
                    <w:b/>
                    <w:bCs/>
                    <w:color w:val="FFFFFF"/>
                    <w:sz w:val="19"/>
                    <w:szCs w:val="19"/>
                  </w:rPr>
                </w:pPr>
                <w:r w:rsidRPr="00406EBF">
                  <w:rPr>
                    <w:rFonts w:cstheme="minorHAnsi"/>
                    <w:b/>
                    <w:bCs/>
                    <w:color w:val="FFFFFF"/>
                    <w:sz w:val="19"/>
                    <w:szCs w:val="19"/>
                  </w:rPr>
                  <w:t>12145</w:t>
                </w:r>
              </w:p>
            </w:tc>
          </w:tr>
        </w:tbl>
        <w:p w14:paraId="7E8A1BF9" w14:textId="77777777" w:rsidR="00B80FC9" w:rsidRPr="00406EBF" w:rsidRDefault="00A45084" w:rsidP="00BE709A">
          <w:pPr>
            <w:tabs>
              <w:tab w:val="left" w:pos="709"/>
            </w:tabs>
            <w:spacing w:line="240" w:lineRule="auto"/>
            <w:jc w:val="both"/>
            <w:rPr>
              <w:rFonts w:cstheme="minorHAnsi"/>
              <w:sz w:val="23"/>
              <w:szCs w:val="23"/>
              <w:u w:val="single"/>
            </w:rPr>
          </w:pPr>
          <w:r w:rsidRPr="00406EBF">
            <w:rPr>
              <w:rFonts w:cstheme="minorHAnsi"/>
              <w:sz w:val="23"/>
              <w:szCs w:val="23"/>
              <w:u w:val="single"/>
            </w:rPr>
            <w:t xml:space="preserve"> </w:t>
          </w:r>
        </w:p>
        <w:p w14:paraId="13601C4A" w14:textId="77777777" w:rsidR="006978A9" w:rsidRPr="00406EBF" w:rsidRDefault="006978A9" w:rsidP="00BE709A">
          <w:pPr>
            <w:tabs>
              <w:tab w:val="left" w:pos="709"/>
            </w:tabs>
            <w:spacing w:line="240" w:lineRule="auto"/>
            <w:jc w:val="both"/>
            <w:rPr>
              <w:rFonts w:cstheme="minorHAnsi"/>
              <w:sz w:val="23"/>
              <w:szCs w:val="23"/>
              <w:u w:val="single"/>
            </w:rPr>
          </w:pPr>
          <w:r w:rsidRPr="00406EBF">
            <w:rPr>
              <w:rFonts w:cstheme="minorHAnsi"/>
              <w:noProof/>
              <w:sz w:val="19"/>
              <w:szCs w:val="19"/>
              <w:lang w:val="en-GB" w:eastAsia="en-GB"/>
            </w:rPr>
            <w:lastRenderedPageBreak/>
            <w:drawing>
              <wp:inline distT="0" distB="0" distL="0" distR="0" wp14:anchorId="50393A03" wp14:editId="3E737495">
                <wp:extent cx="6501161" cy="436012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7286" cy="4364235"/>
                        </a:xfrm>
                        <a:prstGeom prst="rect">
                          <a:avLst/>
                        </a:prstGeom>
                        <a:noFill/>
                        <a:ln>
                          <a:noFill/>
                        </a:ln>
                      </pic:spPr>
                    </pic:pic>
                  </a:graphicData>
                </a:graphic>
              </wp:inline>
            </w:drawing>
          </w:r>
        </w:p>
        <w:p w14:paraId="692A0E09" w14:textId="5DA60A5C" w:rsidR="00676A50" w:rsidRPr="00406EBF" w:rsidRDefault="004A1DC3" w:rsidP="00BE709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Trois services différents s’occupent de la prévention et de l’instruction des cas de corruption au sein de la police fédérale</w:t>
          </w:r>
          <w:r w:rsidR="00227A7D" w:rsidRPr="00406EBF">
            <w:rPr>
              <w:rFonts w:cstheme="minorHAnsi"/>
              <w:sz w:val="23"/>
              <w:szCs w:val="23"/>
            </w:rPr>
            <w:t xml:space="preserve"> : l’Office central pour la répression de la corruption, le service CG/intégrité et le service de </w:t>
          </w:r>
          <w:r w:rsidR="00156E98">
            <w:rPr>
              <w:rFonts w:cstheme="minorHAnsi"/>
              <w:sz w:val="23"/>
              <w:szCs w:val="23"/>
            </w:rPr>
            <w:t xml:space="preserve">surveillance du fonctionnement </w:t>
          </w:r>
          <w:r w:rsidR="00227A7D" w:rsidRPr="00406EBF">
            <w:rPr>
              <w:rFonts w:cstheme="minorHAnsi"/>
              <w:sz w:val="23"/>
              <w:szCs w:val="23"/>
            </w:rPr>
            <w:t>interne</w:t>
          </w:r>
          <w:r w:rsidR="00AE5DC2" w:rsidRPr="00406EBF">
            <w:rPr>
              <w:rFonts w:cstheme="minorHAnsi"/>
              <w:sz w:val="23"/>
              <w:szCs w:val="23"/>
            </w:rPr>
            <w:t xml:space="preserve"> et </w:t>
          </w:r>
          <w:r w:rsidR="004D7FB5">
            <w:rPr>
              <w:rFonts w:cstheme="minorHAnsi"/>
              <w:sz w:val="23"/>
              <w:szCs w:val="23"/>
            </w:rPr>
            <w:t>de</w:t>
          </w:r>
          <w:r w:rsidR="000B25FF">
            <w:rPr>
              <w:rFonts w:cstheme="minorHAnsi"/>
              <w:sz w:val="23"/>
              <w:szCs w:val="23"/>
            </w:rPr>
            <w:t xml:space="preserve"> la</w:t>
          </w:r>
          <w:r w:rsidR="004D7FB5">
            <w:rPr>
              <w:rFonts w:cstheme="minorHAnsi"/>
              <w:sz w:val="23"/>
              <w:szCs w:val="23"/>
            </w:rPr>
            <w:t xml:space="preserve"> </w:t>
          </w:r>
          <w:r w:rsidR="00AE5DC2" w:rsidRPr="00406EBF">
            <w:rPr>
              <w:rFonts w:cstheme="minorHAnsi"/>
              <w:sz w:val="23"/>
              <w:szCs w:val="23"/>
            </w:rPr>
            <w:t>qualité (</w:t>
          </w:r>
          <w:r w:rsidR="000B25FF">
            <w:rPr>
              <w:rFonts w:cstheme="minorHAnsi"/>
              <w:sz w:val="23"/>
              <w:szCs w:val="23"/>
            </w:rPr>
            <w:t>DGR/</w:t>
          </w:r>
          <w:r w:rsidR="00AE5DC2" w:rsidRPr="00406EBF">
            <w:rPr>
              <w:rFonts w:cstheme="minorHAnsi"/>
              <w:sz w:val="23"/>
              <w:szCs w:val="23"/>
            </w:rPr>
            <w:t>TIWK)</w:t>
          </w:r>
          <w:r w:rsidRPr="00406EBF">
            <w:rPr>
              <w:rFonts w:cstheme="minorHAnsi"/>
              <w:sz w:val="23"/>
              <w:szCs w:val="23"/>
            </w:rPr>
            <w:t xml:space="preserve">. </w:t>
          </w:r>
        </w:p>
        <w:p w14:paraId="0D69503B" w14:textId="77777777" w:rsidR="00676A50" w:rsidRPr="00406EBF" w:rsidRDefault="00676A50" w:rsidP="00676A50">
          <w:pPr>
            <w:tabs>
              <w:tab w:val="left" w:pos="709"/>
            </w:tabs>
            <w:spacing w:line="240" w:lineRule="auto"/>
            <w:jc w:val="both"/>
            <w:rPr>
              <w:rFonts w:cstheme="minorHAnsi"/>
              <w:sz w:val="23"/>
              <w:szCs w:val="23"/>
            </w:rPr>
          </w:pPr>
        </w:p>
        <w:p w14:paraId="1C379C8F" w14:textId="77777777" w:rsidR="001368CE" w:rsidRPr="00406EBF" w:rsidRDefault="004A1DC3" w:rsidP="009E6AE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u w:val="single"/>
            </w:rPr>
            <w:t>L</w:t>
          </w:r>
          <w:r w:rsidR="003E03B7" w:rsidRPr="00406EBF">
            <w:rPr>
              <w:rFonts w:cstheme="minorHAnsi"/>
              <w:sz w:val="23"/>
              <w:szCs w:val="23"/>
              <w:u w:val="single"/>
            </w:rPr>
            <w:t>’Office central pour la répression de la corruption</w:t>
          </w:r>
          <w:r w:rsidR="003E03B7" w:rsidRPr="00406EBF">
            <w:rPr>
              <w:rFonts w:cstheme="minorHAnsi"/>
              <w:sz w:val="23"/>
              <w:szCs w:val="23"/>
            </w:rPr>
            <w:t xml:space="preserve"> (OCRC)</w:t>
          </w:r>
          <w:r w:rsidR="00BE709A" w:rsidRPr="00406EBF">
            <w:rPr>
              <w:rStyle w:val="Appelnotedebasdep"/>
              <w:rFonts w:cstheme="minorHAnsi"/>
              <w:sz w:val="23"/>
              <w:szCs w:val="23"/>
            </w:rPr>
            <w:footnoteReference w:id="42"/>
          </w:r>
          <w:r w:rsidR="00BE709A" w:rsidRPr="00406EBF">
            <w:rPr>
              <w:rFonts w:cstheme="minorHAnsi"/>
              <w:sz w:val="23"/>
              <w:szCs w:val="23"/>
            </w:rPr>
            <w:t xml:space="preserve"> </w:t>
          </w:r>
          <w:r w:rsidRPr="00406EBF">
            <w:rPr>
              <w:rFonts w:cstheme="minorHAnsi"/>
              <w:sz w:val="23"/>
              <w:szCs w:val="23"/>
            </w:rPr>
            <w:t>mène des enquêtes autonomes et fournit un appui spéciali</w:t>
          </w:r>
          <w:r w:rsidR="00C616A3">
            <w:rPr>
              <w:rFonts w:cstheme="minorHAnsi"/>
              <w:sz w:val="23"/>
              <w:szCs w:val="23"/>
            </w:rPr>
            <w:t>s</w:t>
          </w:r>
          <w:r w:rsidRPr="00406EBF">
            <w:rPr>
              <w:rFonts w:cstheme="minorHAnsi"/>
              <w:sz w:val="23"/>
              <w:szCs w:val="23"/>
            </w:rPr>
            <w:t>é aux enquêtes de la police judiciaire fédérale et de la police locale</w:t>
          </w:r>
          <w:r w:rsidR="00676A50" w:rsidRPr="00406EBF">
            <w:rPr>
              <w:rFonts w:cstheme="minorHAnsi"/>
              <w:sz w:val="23"/>
              <w:szCs w:val="23"/>
            </w:rPr>
            <w:t>, p</w:t>
          </w:r>
          <w:r w:rsidR="00BE709A" w:rsidRPr="00406EBF">
            <w:rPr>
              <w:rFonts w:cstheme="minorHAnsi"/>
              <w:sz w:val="23"/>
              <w:szCs w:val="23"/>
            </w:rPr>
            <w:t xml:space="preserve">rincipalement </w:t>
          </w:r>
          <w:r w:rsidR="00676A50" w:rsidRPr="00406EBF">
            <w:rPr>
              <w:rFonts w:cstheme="minorHAnsi"/>
              <w:sz w:val="23"/>
              <w:szCs w:val="23"/>
            </w:rPr>
            <w:t xml:space="preserve">pour </w:t>
          </w:r>
          <w:r w:rsidR="00BE709A" w:rsidRPr="00406EBF">
            <w:rPr>
              <w:rFonts w:cstheme="minorHAnsi"/>
              <w:sz w:val="23"/>
              <w:szCs w:val="23"/>
            </w:rPr>
            <w:t>les infractions de corruption, concussion, prise d'intérêt et détournement dans les domaines des marchés publics, subsides, permis et agréments.</w:t>
          </w:r>
          <w:r w:rsidR="00676A50" w:rsidRPr="00406EBF">
            <w:rPr>
              <w:rFonts w:cstheme="minorHAnsi"/>
              <w:sz w:val="23"/>
              <w:szCs w:val="23"/>
            </w:rPr>
            <w:t xml:space="preserve"> Il</w:t>
          </w:r>
          <w:r w:rsidR="00BE709A" w:rsidRPr="00406EBF">
            <w:rPr>
              <w:rFonts w:cstheme="minorHAnsi"/>
              <w:sz w:val="23"/>
              <w:szCs w:val="23"/>
            </w:rPr>
            <w:t xml:space="preserve"> </w:t>
          </w:r>
          <w:r w:rsidR="00131497" w:rsidRPr="00406EBF">
            <w:rPr>
              <w:rFonts w:cstheme="minorHAnsi"/>
              <w:sz w:val="23"/>
              <w:szCs w:val="23"/>
            </w:rPr>
            <w:t>compte quatre sections, deux néerlandophones et deux francophones. Le service dispose également d’un point de contact « fraude sportive ».</w:t>
          </w:r>
          <w:r w:rsidR="001F2B6A" w:rsidRPr="00406EBF">
            <w:rPr>
              <w:rFonts w:cstheme="minorHAnsi"/>
              <w:sz w:val="23"/>
              <w:szCs w:val="23"/>
            </w:rPr>
            <w:t xml:space="preserve"> L’activité de l’OCRC est contrôlée par un magistrat de tutelle, qui fait partie du Parquet fédéral. Il fait chaque année un rapport sur le travail de l’OCRC, qui est envoyé au ministre de la Justice, qui le transmet ensuite au Parlement.</w:t>
          </w:r>
          <w:r w:rsidR="00CE3D97" w:rsidRPr="00406EBF">
            <w:rPr>
              <w:rFonts w:cstheme="minorHAnsi"/>
              <w:sz w:val="23"/>
              <w:szCs w:val="23"/>
            </w:rPr>
            <w:t xml:space="preserve"> Ce rapport n’est pas public. </w:t>
          </w:r>
          <w:r w:rsidR="009A1167">
            <w:rPr>
              <w:rFonts w:cstheme="minorHAnsi"/>
              <w:sz w:val="23"/>
              <w:szCs w:val="23"/>
            </w:rPr>
            <w:t>L</w:t>
          </w:r>
          <w:r w:rsidR="00CE3D97" w:rsidRPr="00406EBF">
            <w:rPr>
              <w:rFonts w:cstheme="minorHAnsi"/>
              <w:sz w:val="23"/>
              <w:szCs w:val="23"/>
            </w:rPr>
            <w:t>’EEG estime qu’une publication de ce rapport serait un élément important de transparence et encourage les autorités à aller dans ce sens.</w:t>
          </w:r>
        </w:p>
        <w:p w14:paraId="1C7DEB79" w14:textId="77777777" w:rsidR="001F2B6A" w:rsidRPr="00406EBF" w:rsidRDefault="001F2B6A" w:rsidP="001F2B6A">
          <w:pPr>
            <w:pStyle w:val="Paragraphedeliste"/>
            <w:rPr>
              <w:rFonts w:cstheme="minorHAnsi"/>
              <w:sz w:val="23"/>
              <w:szCs w:val="23"/>
            </w:rPr>
          </w:pPr>
        </w:p>
        <w:p w14:paraId="25BF4C69" w14:textId="45E84689" w:rsidR="009E6AE2" w:rsidRPr="00406EBF" w:rsidRDefault="009E6AE2" w:rsidP="009E6AE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composition, le rôle et les pouvoirs du service CG/Intégrité sont décrits ci-dessous sous la section « Politique anti-corruption et d’intégrité ».</w:t>
          </w:r>
          <w:r w:rsidR="00BF4110" w:rsidRPr="00406EBF">
            <w:rPr>
              <w:rFonts w:cstheme="minorHAnsi"/>
              <w:sz w:val="23"/>
              <w:szCs w:val="23"/>
            </w:rPr>
            <w:t xml:space="preserve"> Quant au service de </w:t>
          </w:r>
          <w:r w:rsidR="000B25FF">
            <w:rPr>
              <w:rFonts w:cstheme="minorHAnsi"/>
              <w:sz w:val="23"/>
              <w:szCs w:val="23"/>
            </w:rPr>
            <w:t>surveillance du fonctionnement</w:t>
          </w:r>
          <w:r w:rsidR="00BF4110" w:rsidRPr="00406EBF">
            <w:rPr>
              <w:rFonts w:cstheme="minorHAnsi"/>
              <w:sz w:val="23"/>
              <w:szCs w:val="23"/>
            </w:rPr>
            <w:t xml:space="preserve"> interne et </w:t>
          </w:r>
          <w:r w:rsidR="000B25FF">
            <w:rPr>
              <w:rFonts w:cstheme="minorHAnsi"/>
              <w:sz w:val="23"/>
              <w:szCs w:val="23"/>
            </w:rPr>
            <w:t xml:space="preserve">de la </w:t>
          </w:r>
          <w:r w:rsidR="00BF4110" w:rsidRPr="00406EBF">
            <w:rPr>
              <w:rFonts w:cstheme="minorHAnsi"/>
              <w:sz w:val="23"/>
              <w:szCs w:val="23"/>
            </w:rPr>
            <w:t>qualité, il en est question dans la section « surveillance et contrôle internes ».</w:t>
          </w:r>
        </w:p>
        <w:p w14:paraId="36E32E9D" w14:textId="77777777" w:rsidR="00BF4110" w:rsidRPr="00406EBF" w:rsidRDefault="00BF4110" w:rsidP="00BF4110">
          <w:pPr>
            <w:pStyle w:val="Paragraphedeliste"/>
            <w:rPr>
              <w:rFonts w:cstheme="minorHAnsi"/>
              <w:sz w:val="23"/>
              <w:szCs w:val="23"/>
            </w:rPr>
          </w:pPr>
        </w:p>
        <w:p w14:paraId="4480080A" w14:textId="17A3B569" w:rsidR="00BF4110" w:rsidRPr="00406EBF" w:rsidRDefault="00BF4110" w:rsidP="00BF411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Par ailleurs, en exécution de l’art. 102 de la LPI, un arrêté royal </w:t>
          </w:r>
          <w:r w:rsidR="00A14D23">
            <w:rPr>
              <w:rFonts w:cstheme="minorHAnsi"/>
              <w:sz w:val="23"/>
              <w:szCs w:val="23"/>
            </w:rPr>
            <w:t xml:space="preserve">du 23 juin 2019 (entré en vigueur le 12 août 2019) </w:t>
          </w:r>
          <w:r w:rsidRPr="00406EBF">
            <w:rPr>
              <w:rFonts w:cstheme="minorHAnsi"/>
              <w:sz w:val="23"/>
              <w:szCs w:val="23"/>
            </w:rPr>
            <w:t xml:space="preserve">charge les services centraux de la Direction générale de la police judiciaire (DGJ) de la Police Fédérale d'exécuter des missions d'enquête spécialisées dans certaines matières déterminées, parmi lesquelles les formes graves de corruption, à savoir la corruption publique, la </w:t>
          </w:r>
          <w:r w:rsidRPr="00406EBF">
            <w:rPr>
              <w:rFonts w:cstheme="minorHAnsi"/>
              <w:sz w:val="23"/>
              <w:szCs w:val="23"/>
            </w:rPr>
            <w:lastRenderedPageBreak/>
            <w:t>prise illégale d'intérêts, la concussion, le détournement par une personne exerçant une fonction publique et la fraude dans le domaine des marchés publics.</w:t>
          </w:r>
        </w:p>
        <w:p w14:paraId="7EC13AA6" w14:textId="77777777" w:rsidR="00BF4110" w:rsidRPr="00406EBF" w:rsidRDefault="00BF4110" w:rsidP="00BF4110">
          <w:pPr>
            <w:pStyle w:val="Paragraphedeliste"/>
            <w:rPr>
              <w:rFonts w:cstheme="minorHAnsi"/>
              <w:sz w:val="23"/>
              <w:szCs w:val="23"/>
            </w:rPr>
          </w:pPr>
        </w:p>
        <w:p w14:paraId="55F3FC66" w14:textId="77777777" w:rsidR="00891D83" w:rsidRPr="00406EBF" w:rsidRDefault="00F2708B" w:rsidP="00BF411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De l’avis de nombreux interlocuteurs de l’EEG, y compris des représentants des autorités, la police fédérale est en crise. Elle manque de moyens, subit un exode de personnel vers la police locale mieux dotée et un vieillissement de ses effectifs. Selon les syndicats, il manque environ 2500 personnes sur un effectif </w:t>
          </w:r>
          <w:r w:rsidR="001621EB" w:rsidRPr="00406EBF">
            <w:rPr>
              <w:rFonts w:cstheme="minorHAnsi"/>
              <w:sz w:val="23"/>
              <w:szCs w:val="23"/>
            </w:rPr>
            <w:t xml:space="preserve">de 12000 personnes au niveau fédéral. </w:t>
          </w:r>
        </w:p>
        <w:p w14:paraId="0C26A5E8" w14:textId="77777777" w:rsidR="00891D83" w:rsidRPr="00406EBF" w:rsidRDefault="00891D83" w:rsidP="00891D83">
          <w:pPr>
            <w:pStyle w:val="Paragraphedeliste"/>
            <w:rPr>
              <w:rFonts w:cstheme="minorHAnsi"/>
              <w:sz w:val="23"/>
              <w:szCs w:val="23"/>
            </w:rPr>
          </w:pPr>
        </w:p>
        <w:p w14:paraId="41B76862" w14:textId="77777777" w:rsidR="00891D83" w:rsidRPr="00406EBF" w:rsidRDefault="00B72AFD" w:rsidP="00891D83">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Ce manque de moyens affecte particulièrement les services chargés de la prévention et de la lutte contre la corruption et il semble </w:t>
          </w:r>
          <w:r w:rsidR="00891D83" w:rsidRPr="00406EBF">
            <w:rPr>
              <w:rFonts w:cstheme="minorHAnsi"/>
              <w:sz w:val="23"/>
              <w:szCs w:val="23"/>
            </w:rPr>
            <w:t xml:space="preserve">être également le reflet d’une importance insuffisante donnée ces dernières années à la lutte contre la corruption. Selon certains des interlocuteurs de l’EEG, cette question ne fait pas partie des priorités du gouvernement. En outre, de nombreux moyens ont été transférés à la lutte contre le terrorisme à la suite des attentats de Bruxelles. </w:t>
          </w:r>
          <w:r w:rsidRPr="00406EBF">
            <w:rPr>
              <w:rFonts w:cstheme="minorHAnsi"/>
              <w:sz w:val="23"/>
              <w:szCs w:val="23"/>
            </w:rPr>
            <w:t xml:space="preserve">Le Service CG/Intégrité, dont il sera question ci-dessous, compte une seule personne. </w:t>
          </w:r>
          <w:r w:rsidR="00891D83" w:rsidRPr="00406EBF">
            <w:rPr>
              <w:rFonts w:cstheme="minorHAnsi"/>
              <w:sz w:val="23"/>
              <w:szCs w:val="23"/>
            </w:rPr>
            <w:t>L’</w:t>
          </w:r>
          <w:r w:rsidRPr="00406EBF">
            <w:rPr>
              <w:rFonts w:cstheme="minorHAnsi"/>
              <w:sz w:val="23"/>
              <w:szCs w:val="23"/>
            </w:rPr>
            <w:t>effectif statutaire de l’</w:t>
          </w:r>
          <w:r w:rsidR="00891D83" w:rsidRPr="00406EBF">
            <w:rPr>
              <w:rFonts w:cstheme="minorHAnsi"/>
              <w:sz w:val="23"/>
              <w:szCs w:val="23"/>
            </w:rPr>
            <w:t xml:space="preserve">OCRC </w:t>
          </w:r>
          <w:r w:rsidRPr="00406EBF">
            <w:rPr>
              <w:rFonts w:cstheme="minorHAnsi"/>
              <w:sz w:val="23"/>
              <w:szCs w:val="23"/>
            </w:rPr>
            <w:t>est</w:t>
          </w:r>
          <w:r w:rsidR="00891D83" w:rsidRPr="00406EBF">
            <w:rPr>
              <w:rFonts w:cstheme="minorHAnsi"/>
              <w:sz w:val="23"/>
              <w:szCs w:val="23"/>
            </w:rPr>
            <w:t xml:space="preserve"> pass</w:t>
          </w:r>
          <w:r w:rsidRPr="00406EBF">
            <w:rPr>
              <w:rFonts w:cstheme="minorHAnsi"/>
              <w:sz w:val="23"/>
              <w:szCs w:val="23"/>
            </w:rPr>
            <w:t>é</w:t>
          </w:r>
          <w:r w:rsidR="00891D83" w:rsidRPr="00406EBF">
            <w:rPr>
              <w:rFonts w:cstheme="minorHAnsi"/>
              <w:sz w:val="23"/>
              <w:szCs w:val="23"/>
            </w:rPr>
            <w:t xml:space="preserve"> de </w:t>
          </w:r>
          <w:r w:rsidR="003B2EAE" w:rsidRPr="00406EBF">
            <w:rPr>
              <w:rFonts w:cstheme="minorHAnsi"/>
              <w:sz w:val="23"/>
              <w:szCs w:val="23"/>
            </w:rPr>
            <w:t xml:space="preserve">120 personnes dans les années 2000 à 66 en 2018. </w:t>
          </w:r>
          <w:r w:rsidRPr="00406EBF">
            <w:rPr>
              <w:rFonts w:cstheme="minorHAnsi"/>
              <w:sz w:val="23"/>
              <w:szCs w:val="23"/>
            </w:rPr>
            <w:t xml:space="preserve">Sur ces 66 personnes prévues, le service compte effectivement 39 personnes en 2018, soit un déficit en personnel de 40%. Bien que 17 personnes aient été recrutées en 2019, ces recrutements suffisent juste à compenser les départs du service. </w:t>
          </w:r>
          <w:r w:rsidR="003B2EAE" w:rsidRPr="00406EBF">
            <w:rPr>
              <w:rFonts w:cstheme="minorHAnsi"/>
              <w:sz w:val="23"/>
              <w:szCs w:val="23"/>
            </w:rPr>
            <w:t xml:space="preserve">Certains des membres </w:t>
          </w:r>
          <w:r w:rsidRPr="00406EBF">
            <w:rPr>
              <w:rFonts w:cstheme="minorHAnsi"/>
              <w:sz w:val="23"/>
              <w:szCs w:val="23"/>
            </w:rPr>
            <w:t xml:space="preserve">de l’OCRC </w:t>
          </w:r>
          <w:r w:rsidR="003B2EAE" w:rsidRPr="00406EBF">
            <w:rPr>
              <w:rFonts w:cstheme="minorHAnsi"/>
              <w:sz w:val="23"/>
              <w:szCs w:val="23"/>
            </w:rPr>
            <w:t>ont également été visés en 2015-2016, alors qu’ils enquêtaient sur des affaires politico-financières à Charleroi, par une enquête pour des notes de frais mal remplies. Ils ont été blanchis</w:t>
          </w:r>
          <w:r w:rsidR="003B2EAE" w:rsidRPr="00406EBF">
            <w:rPr>
              <w:rStyle w:val="Appelnotedebasdep"/>
              <w:rFonts w:cstheme="minorHAnsi"/>
              <w:sz w:val="23"/>
              <w:szCs w:val="23"/>
            </w:rPr>
            <w:footnoteReference w:id="43"/>
          </w:r>
          <w:r w:rsidR="003B2EAE" w:rsidRPr="00406EBF">
            <w:rPr>
              <w:rFonts w:cstheme="minorHAnsi"/>
              <w:sz w:val="23"/>
              <w:szCs w:val="23"/>
            </w:rPr>
            <w:t xml:space="preserve">, mais cette </w:t>
          </w:r>
          <w:r w:rsidR="0039553C" w:rsidRPr="00406EBF">
            <w:rPr>
              <w:rFonts w:cstheme="minorHAnsi"/>
              <w:sz w:val="23"/>
              <w:szCs w:val="23"/>
            </w:rPr>
            <w:t>affaire a durablement affecté le service, entraînant des burn-outs et des départs vers d’autres services.</w:t>
          </w:r>
          <w:r w:rsidR="008603FA" w:rsidRPr="00406EBF">
            <w:rPr>
              <w:rFonts w:cstheme="minorHAnsi"/>
              <w:sz w:val="23"/>
              <w:szCs w:val="23"/>
            </w:rPr>
            <w:t xml:space="preserve"> Malgré cet épisode, l’EEG note que l’indépendance de l’OCRC vis-à-vis du pouvoir politique semble réelle.</w:t>
          </w:r>
        </w:p>
        <w:p w14:paraId="342C4CCC" w14:textId="77777777" w:rsidR="00891D83" w:rsidRPr="00406EBF" w:rsidRDefault="00891D83" w:rsidP="00891D83">
          <w:pPr>
            <w:pStyle w:val="Paragraphedeliste"/>
            <w:rPr>
              <w:rFonts w:cstheme="minorHAnsi"/>
              <w:sz w:val="23"/>
              <w:szCs w:val="23"/>
            </w:rPr>
          </w:pPr>
        </w:p>
        <w:p w14:paraId="228AF5BE" w14:textId="77777777" w:rsidR="00BF4110" w:rsidRPr="00406EBF" w:rsidRDefault="001969B3" w:rsidP="00BF411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Ce manque de moyens </w:t>
          </w:r>
          <w:r w:rsidR="00B72AFD" w:rsidRPr="00406EBF">
            <w:rPr>
              <w:rFonts w:cstheme="minorHAnsi"/>
              <w:sz w:val="23"/>
              <w:szCs w:val="23"/>
            </w:rPr>
            <w:t>a bi</w:t>
          </w:r>
          <w:r w:rsidRPr="00406EBF">
            <w:rPr>
              <w:rFonts w:cstheme="minorHAnsi"/>
              <w:sz w:val="23"/>
              <w:szCs w:val="23"/>
            </w:rPr>
            <w:t xml:space="preserve">en évidemment </w:t>
          </w:r>
          <w:r w:rsidR="00B72AFD" w:rsidRPr="00406EBF">
            <w:rPr>
              <w:rFonts w:cstheme="minorHAnsi"/>
              <w:sz w:val="23"/>
              <w:szCs w:val="23"/>
            </w:rPr>
            <w:t>des répercussions négatives sur les unités en sous-effectif</w:t>
          </w:r>
          <w:r w:rsidRPr="00406EBF">
            <w:rPr>
              <w:rFonts w:cstheme="minorHAnsi"/>
              <w:sz w:val="23"/>
              <w:szCs w:val="23"/>
            </w:rPr>
            <w:t>. Ainsi, l’OCRC</w:t>
          </w:r>
          <w:r w:rsidR="00B72AFD" w:rsidRPr="00406EBF">
            <w:rPr>
              <w:rFonts w:cstheme="minorHAnsi"/>
              <w:sz w:val="23"/>
              <w:szCs w:val="23"/>
            </w:rPr>
            <w:t xml:space="preserve"> est devenu uniquement réactif, </w:t>
          </w:r>
          <w:r w:rsidR="002205B9" w:rsidRPr="00406EBF">
            <w:rPr>
              <w:rFonts w:cstheme="minorHAnsi"/>
              <w:sz w:val="23"/>
              <w:szCs w:val="23"/>
            </w:rPr>
            <w:t>enquêtant</w:t>
          </w:r>
          <w:r w:rsidR="00B72AFD" w:rsidRPr="00406EBF">
            <w:rPr>
              <w:rFonts w:cstheme="minorHAnsi"/>
              <w:sz w:val="23"/>
              <w:szCs w:val="23"/>
            </w:rPr>
            <w:t xml:space="preserve"> sur la base de plaintes ou d’articles de presse. Le travail pro-actif de recherche des phénomènes de corruption</w:t>
          </w:r>
          <w:r w:rsidR="008603FA" w:rsidRPr="00406EBF">
            <w:rPr>
              <w:rFonts w:cstheme="minorHAnsi"/>
              <w:sz w:val="23"/>
              <w:szCs w:val="23"/>
            </w:rPr>
            <w:t>,</w:t>
          </w:r>
          <w:r w:rsidR="00B72AFD" w:rsidRPr="00406EBF">
            <w:rPr>
              <w:rFonts w:cstheme="minorHAnsi"/>
              <w:sz w:val="23"/>
              <w:szCs w:val="23"/>
            </w:rPr>
            <w:t xml:space="preserve"> de prévention </w:t>
          </w:r>
          <w:r w:rsidR="008603FA" w:rsidRPr="00406EBF">
            <w:rPr>
              <w:rFonts w:cstheme="minorHAnsi"/>
              <w:sz w:val="23"/>
              <w:szCs w:val="23"/>
            </w:rPr>
            <w:t>et de networking</w:t>
          </w:r>
          <w:r w:rsidR="00B72AFD" w:rsidRPr="00406EBF">
            <w:rPr>
              <w:rFonts w:cstheme="minorHAnsi"/>
              <w:sz w:val="23"/>
              <w:szCs w:val="23"/>
            </w:rPr>
            <w:t xml:space="preserve"> est négligé</w:t>
          </w:r>
          <w:r w:rsidR="008603FA" w:rsidRPr="00406EBF">
            <w:rPr>
              <w:rFonts w:cstheme="minorHAnsi"/>
              <w:sz w:val="23"/>
              <w:szCs w:val="23"/>
            </w:rPr>
            <w:t>, ce qui comporte le risque que certaines infractions ne soient pas découvertes</w:t>
          </w:r>
          <w:r w:rsidR="002205B9" w:rsidRPr="00406EBF">
            <w:rPr>
              <w:rFonts w:cstheme="minorHAnsi"/>
              <w:sz w:val="23"/>
              <w:szCs w:val="23"/>
            </w:rPr>
            <w:t>.</w:t>
          </w:r>
          <w:r w:rsidR="00CE3D97" w:rsidRPr="00406EBF">
            <w:rPr>
              <w:rFonts w:cstheme="minorHAnsi"/>
              <w:sz w:val="23"/>
              <w:szCs w:val="23"/>
            </w:rPr>
            <w:t xml:space="preserve"> Au vu de ce qui précède, l’EEG encourage les autorités belges à remédier rapidement au manque d’effectifs de l’OCRC et plus largement de la police fédérale.</w:t>
          </w:r>
        </w:p>
        <w:p w14:paraId="48024660" w14:textId="77777777" w:rsidR="001969B3" w:rsidRPr="00406EBF" w:rsidRDefault="001969B3" w:rsidP="001969B3">
          <w:pPr>
            <w:pStyle w:val="Paragraphedeliste"/>
            <w:rPr>
              <w:rFonts w:cstheme="minorHAnsi"/>
              <w:sz w:val="23"/>
              <w:szCs w:val="23"/>
            </w:rPr>
          </w:pPr>
        </w:p>
        <w:p w14:paraId="1A52AE3D" w14:textId="77777777" w:rsidR="00F04834" w:rsidRPr="00406EBF" w:rsidRDefault="00F04834"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95" w:name="_Toc2777408"/>
          <w:bookmarkStart w:id="96" w:name="_Toc21339581"/>
          <w:r w:rsidRPr="00406EBF">
            <w:rPr>
              <w:rFonts w:asciiTheme="minorHAnsi" w:hAnsiTheme="minorHAnsi" w:cstheme="minorHAnsi"/>
              <w:b w:val="0"/>
              <w:i/>
              <w:color w:val="auto"/>
              <w:sz w:val="23"/>
              <w:szCs w:val="23"/>
            </w:rPr>
            <w:t>Accès aux informations</w:t>
          </w:r>
          <w:bookmarkEnd w:id="95"/>
          <w:bookmarkEnd w:id="96"/>
        </w:p>
        <w:p w14:paraId="70F31A12" w14:textId="77777777" w:rsidR="007C316A" w:rsidRPr="00406EBF" w:rsidRDefault="007C316A" w:rsidP="001878CC">
          <w:pPr>
            <w:spacing w:line="240" w:lineRule="auto"/>
            <w:jc w:val="both"/>
            <w:rPr>
              <w:rFonts w:cstheme="minorHAnsi"/>
              <w:sz w:val="23"/>
              <w:szCs w:val="23"/>
            </w:rPr>
          </w:pPr>
        </w:p>
        <w:p w14:paraId="393C226B" w14:textId="0FED4B4D" w:rsidR="007163E2" w:rsidRPr="00406EBF" w:rsidRDefault="007163E2" w:rsidP="007163E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droit d</w:t>
          </w:r>
          <w:r w:rsidR="00E90418" w:rsidRPr="00406EBF">
            <w:rPr>
              <w:rFonts w:cstheme="minorHAnsi"/>
              <w:sz w:val="23"/>
              <w:szCs w:val="23"/>
            </w:rPr>
            <w:t>’accès aux</w:t>
          </w:r>
          <w:r w:rsidRPr="00406EBF">
            <w:rPr>
              <w:rFonts w:cstheme="minorHAnsi"/>
              <w:sz w:val="23"/>
              <w:szCs w:val="23"/>
            </w:rPr>
            <w:t xml:space="preserve"> documents administratifs figur</w:t>
          </w:r>
          <w:r w:rsidR="00E90418" w:rsidRPr="00406EBF">
            <w:rPr>
              <w:rFonts w:cstheme="minorHAnsi"/>
              <w:sz w:val="23"/>
              <w:szCs w:val="23"/>
            </w:rPr>
            <w:t>e</w:t>
          </w:r>
          <w:r w:rsidRPr="00406EBF">
            <w:rPr>
              <w:rFonts w:cstheme="minorHAnsi"/>
              <w:sz w:val="23"/>
              <w:szCs w:val="23"/>
            </w:rPr>
            <w:t xml:space="preserve">, dans son principe, à l'article 32 de la Constitution belge. </w:t>
          </w:r>
          <w:r w:rsidR="00E90418" w:rsidRPr="00406EBF">
            <w:rPr>
              <w:rFonts w:cstheme="minorHAnsi"/>
              <w:sz w:val="23"/>
              <w:szCs w:val="23"/>
            </w:rPr>
            <w:t>Il est traduit a</w:t>
          </w:r>
          <w:r w:rsidRPr="00406EBF">
            <w:rPr>
              <w:rFonts w:cstheme="minorHAnsi"/>
              <w:sz w:val="23"/>
              <w:szCs w:val="23"/>
            </w:rPr>
            <w:t>u niveau fédéral</w:t>
          </w:r>
          <w:r w:rsidR="00E90418" w:rsidRPr="00406EBF">
            <w:rPr>
              <w:rFonts w:cstheme="minorHAnsi"/>
              <w:sz w:val="23"/>
              <w:szCs w:val="23"/>
            </w:rPr>
            <w:t xml:space="preserve"> dans</w:t>
          </w:r>
          <w:r w:rsidRPr="00406EBF">
            <w:rPr>
              <w:rFonts w:cstheme="minorHAnsi"/>
              <w:sz w:val="23"/>
              <w:szCs w:val="23"/>
            </w:rPr>
            <w:t xml:space="preserve"> la loi du 11 avril 1994 relative à la publicité de l'administration</w:t>
          </w:r>
          <w:r w:rsidRPr="00406EBF">
            <w:rPr>
              <w:sz w:val="23"/>
              <w:szCs w:val="23"/>
              <w:vertAlign w:val="superscript"/>
            </w:rPr>
            <w:footnoteReference w:id="44"/>
          </w:r>
          <w:r w:rsidRPr="00406EBF">
            <w:rPr>
              <w:rFonts w:cstheme="minorHAnsi"/>
              <w:sz w:val="23"/>
              <w:szCs w:val="23"/>
            </w:rPr>
            <w:t xml:space="preserve">. </w:t>
          </w:r>
          <w:r w:rsidR="004D7FB5">
            <w:rPr>
              <w:rFonts w:cstheme="minorHAnsi"/>
              <w:sz w:val="23"/>
              <w:szCs w:val="23"/>
            </w:rPr>
            <w:t>Ce principe est également rappelé au point 65 du Code de déontologie.</w:t>
          </w:r>
        </w:p>
        <w:p w14:paraId="530142B4" w14:textId="77777777" w:rsidR="007163E2" w:rsidRPr="00406EBF" w:rsidRDefault="007163E2" w:rsidP="007163E2">
          <w:pPr>
            <w:pStyle w:val="Paragraphedeliste"/>
            <w:tabs>
              <w:tab w:val="left" w:pos="993"/>
            </w:tabs>
            <w:rPr>
              <w:rFonts w:cstheme="minorHAnsi"/>
              <w:sz w:val="21"/>
              <w:szCs w:val="21"/>
            </w:rPr>
          </w:pPr>
        </w:p>
        <w:p w14:paraId="7268D971" w14:textId="7AE6CACF" w:rsidR="007163E2" w:rsidRPr="00406EBF" w:rsidRDefault="007163E2" w:rsidP="00E23F9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traitement de données à caractère personnel effectué par les autorités compétentes aux fins de prévention et de détection des infractions pénales, d’enquêtes et de poursuites en la matière ou d’exécution de sanctions pénales, y compris la protection contre les menaces pour la sécurité publique et la prévention de telles menaces</w:t>
          </w:r>
          <w:r w:rsidR="00E90418" w:rsidRPr="00406EBF">
            <w:rPr>
              <w:rFonts w:cstheme="minorHAnsi"/>
              <w:sz w:val="23"/>
              <w:szCs w:val="23"/>
            </w:rPr>
            <w:t>,</w:t>
          </w:r>
          <w:r w:rsidRPr="00406EBF">
            <w:rPr>
              <w:rFonts w:cstheme="minorHAnsi"/>
              <w:sz w:val="23"/>
              <w:szCs w:val="23"/>
            </w:rPr>
            <w:t xml:space="preserve"> fait l’objet de la loi relative à la protection des personnes physiques à l’égard des traitements de données à caractère personnel</w:t>
          </w:r>
          <w:r w:rsidR="00E23F92" w:rsidRPr="00406EBF">
            <w:rPr>
              <w:rStyle w:val="Appelnotedebasdep"/>
              <w:rFonts w:cstheme="minorHAnsi"/>
              <w:sz w:val="23"/>
              <w:szCs w:val="23"/>
            </w:rPr>
            <w:footnoteReference w:id="45"/>
          </w:r>
          <w:r w:rsidRPr="00406EBF">
            <w:rPr>
              <w:rFonts w:cstheme="minorHAnsi"/>
              <w:sz w:val="23"/>
              <w:szCs w:val="23"/>
            </w:rPr>
            <w:t xml:space="preserve"> et plus particulièrement </w:t>
          </w:r>
          <w:r w:rsidR="00E90418" w:rsidRPr="00406EBF">
            <w:rPr>
              <w:rFonts w:cstheme="minorHAnsi"/>
              <w:sz w:val="23"/>
              <w:szCs w:val="23"/>
            </w:rPr>
            <w:t>d</w:t>
          </w:r>
          <w:r w:rsidRPr="00406EBF">
            <w:rPr>
              <w:rFonts w:cstheme="minorHAnsi"/>
              <w:sz w:val="23"/>
              <w:szCs w:val="23"/>
            </w:rPr>
            <w:t>es articles 36 et suivants.</w:t>
          </w:r>
          <w:r w:rsidR="00E23F92" w:rsidRPr="00406EBF">
            <w:rPr>
              <w:rFonts w:cstheme="minorHAnsi"/>
              <w:sz w:val="23"/>
              <w:szCs w:val="23"/>
            </w:rPr>
            <w:t xml:space="preserve"> </w:t>
          </w:r>
          <w:r w:rsidRPr="00406EBF">
            <w:rPr>
              <w:rFonts w:cstheme="minorHAnsi"/>
              <w:sz w:val="23"/>
              <w:szCs w:val="23"/>
            </w:rPr>
            <w:t>Conformément à l’article 42, le droit d’accès individuel est limité et doit s’exercer via l’Or</w:t>
          </w:r>
          <w:r w:rsidR="00E23F92" w:rsidRPr="00406EBF">
            <w:rPr>
              <w:rFonts w:cstheme="minorHAnsi"/>
              <w:sz w:val="23"/>
              <w:szCs w:val="23"/>
            </w:rPr>
            <w:t>g</w:t>
          </w:r>
          <w:r w:rsidRPr="00406EBF">
            <w:rPr>
              <w:rFonts w:cstheme="minorHAnsi"/>
              <w:sz w:val="23"/>
              <w:szCs w:val="23"/>
            </w:rPr>
            <w:t>ane de contrôle de l’information policière.</w:t>
          </w:r>
          <w:r w:rsidR="00A14D23">
            <w:rPr>
              <w:rFonts w:cstheme="minorHAnsi"/>
              <w:sz w:val="23"/>
              <w:szCs w:val="23"/>
            </w:rPr>
            <w:t xml:space="preserve"> </w:t>
          </w:r>
        </w:p>
        <w:p w14:paraId="3B6AAD07" w14:textId="77777777" w:rsidR="007C316A" w:rsidRPr="00406EBF" w:rsidRDefault="007C316A" w:rsidP="00E23F92">
          <w:pPr>
            <w:tabs>
              <w:tab w:val="left" w:pos="709"/>
            </w:tabs>
            <w:spacing w:line="240" w:lineRule="auto"/>
            <w:jc w:val="both"/>
            <w:rPr>
              <w:rFonts w:cstheme="minorHAnsi"/>
              <w:sz w:val="23"/>
              <w:szCs w:val="23"/>
            </w:rPr>
          </w:pPr>
        </w:p>
        <w:p w14:paraId="067CAB74" w14:textId="77777777" w:rsidR="00F04834" w:rsidRPr="00406EBF" w:rsidRDefault="00F04834" w:rsidP="001878CC">
          <w:pPr>
            <w:pStyle w:val="Titre3"/>
            <w:tabs>
              <w:tab w:val="left" w:pos="709"/>
            </w:tabs>
            <w:spacing w:before="0" w:line="240" w:lineRule="auto"/>
            <w:rPr>
              <w:rFonts w:asciiTheme="minorHAnsi" w:hAnsiTheme="minorHAnsi" w:cstheme="minorHAnsi"/>
              <w:b w:val="0"/>
              <w:i/>
              <w:color w:val="auto"/>
              <w:sz w:val="23"/>
              <w:szCs w:val="23"/>
            </w:rPr>
          </w:pPr>
          <w:bookmarkStart w:id="97" w:name="_Toc2777409"/>
          <w:bookmarkStart w:id="98" w:name="_Toc21339582"/>
          <w:r w:rsidRPr="00406EBF">
            <w:rPr>
              <w:rFonts w:asciiTheme="minorHAnsi" w:hAnsiTheme="minorHAnsi" w:cstheme="minorHAnsi"/>
              <w:b w:val="0"/>
              <w:i/>
              <w:color w:val="auto"/>
              <w:sz w:val="23"/>
              <w:szCs w:val="23"/>
            </w:rPr>
            <w:lastRenderedPageBreak/>
            <w:t>Confiance du public en les services répressifs sélectionnés</w:t>
          </w:r>
          <w:bookmarkEnd w:id="97"/>
          <w:bookmarkEnd w:id="98"/>
        </w:p>
        <w:p w14:paraId="77CA46AC" w14:textId="77777777" w:rsidR="00F513D1" w:rsidRPr="00406EBF" w:rsidRDefault="00F513D1" w:rsidP="002F372B">
          <w:pPr>
            <w:tabs>
              <w:tab w:val="left" w:pos="709"/>
            </w:tabs>
            <w:spacing w:line="240" w:lineRule="auto"/>
            <w:jc w:val="both"/>
            <w:rPr>
              <w:rFonts w:cstheme="minorHAnsi"/>
              <w:sz w:val="23"/>
              <w:szCs w:val="23"/>
            </w:rPr>
          </w:pPr>
        </w:p>
        <w:p w14:paraId="260623E8" w14:textId="77777777" w:rsidR="00F42CE7" w:rsidRPr="00406EBF" w:rsidRDefault="002F372B" w:rsidP="00F42CE7">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Moniteur de sécurité (VMS)</w:t>
          </w:r>
          <w:r w:rsidR="00F42CE7" w:rsidRPr="00406EBF">
            <w:rPr>
              <w:rStyle w:val="Appelnotedebasdep"/>
              <w:rFonts w:cstheme="minorHAnsi"/>
              <w:sz w:val="23"/>
              <w:szCs w:val="23"/>
            </w:rPr>
            <w:footnoteReference w:id="46"/>
          </w:r>
          <w:r w:rsidRPr="00406EBF">
            <w:rPr>
              <w:rFonts w:cstheme="minorHAnsi"/>
              <w:sz w:val="23"/>
              <w:szCs w:val="23"/>
            </w:rPr>
            <w:t xml:space="preserve"> est une enquête à grande échelle menée auprès de la population </w:t>
          </w:r>
          <w:r w:rsidR="00955883" w:rsidRPr="00406EBF">
            <w:rPr>
              <w:rFonts w:cstheme="minorHAnsi"/>
              <w:sz w:val="23"/>
              <w:szCs w:val="23"/>
            </w:rPr>
            <w:t xml:space="preserve">au niveau national et local </w:t>
          </w:r>
          <w:r w:rsidRPr="00406EBF">
            <w:rPr>
              <w:rFonts w:cstheme="minorHAnsi"/>
              <w:sz w:val="23"/>
              <w:szCs w:val="23"/>
            </w:rPr>
            <w:t>sur le sentiment d’insécurité et sur l’appréciation du fonctionnement des services de Police. Cette enquête comprend d’une part des questions sur les problèmes de quartier, le sentiment d’insécurité, la victimisation et les déclarations, et d’autre part sur le fonctionnement des services de Police. Le projet a été initié en 1997, à la demande du Ministre de l’Intérieur. L’enquête a été menée à sept reprises sur un peu plus de dix ans (1997, 1998, 2000, 2002, 2004, 2006 et 2008-2009)</w:t>
          </w:r>
          <w:r w:rsidR="00130394" w:rsidRPr="00406EBF">
            <w:rPr>
              <w:rFonts w:cstheme="minorHAnsi"/>
              <w:sz w:val="23"/>
              <w:szCs w:val="23"/>
            </w:rPr>
            <w:t>, puis à nouveau en 2018</w:t>
          </w:r>
          <w:r w:rsidRPr="00406EBF">
            <w:rPr>
              <w:rFonts w:cstheme="minorHAnsi"/>
              <w:sz w:val="23"/>
              <w:szCs w:val="23"/>
            </w:rPr>
            <w:t>. Il s’agit d’une enquête téléphonique réalisée sur un échantillonnage représentatif de la population belge.</w:t>
          </w:r>
          <w:r w:rsidR="00955883" w:rsidRPr="00406EBF">
            <w:rPr>
              <w:rFonts w:cstheme="minorHAnsi"/>
              <w:sz w:val="23"/>
              <w:szCs w:val="23"/>
            </w:rPr>
            <w:t xml:space="preserve"> Les résultats de l’enquête de 2018 montrent une bonne appréciation globale de la police, puisque 64% des répondants sont satisfaits du travail de la police. Ils sont surtout satisfaits de l’attitude et du comportement des policiers (68%), mais moins de l’information donnée sur leurs activités (36%).</w:t>
          </w:r>
          <w:r w:rsidR="00B97691" w:rsidRPr="00406EBF">
            <w:rPr>
              <w:rFonts w:cstheme="minorHAnsi"/>
              <w:sz w:val="23"/>
              <w:szCs w:val="23"/>
            </w:rPr>
            <w:t xml:space="preserve"> </w:t>
          </w:r>
          <w:r w:rsidR="00F42CE7" w:rsidRPr="00406EBF">
            <w:rPr>
              <w:rFonts w:cstheme="minorHAnsi"/>
              <w:sz w:val="23"/>
              <w:szCs w:val="23"/>
            </w:rPr>
            <w:t xml:space="preserve"> </w:t>
          </w:r>
        </w:p>
        <w:p w14:paraId="549C32A7" w14:textId="77777777" w:rsidR="002F372B" w:rsidRPr="00406EBF" w:rsidRDefault="002F372B" w:rsidP="00C41B85">
          <w:pPr>
            <w:tabs>
              <w:tab w:val="left" w:pos="709"/>
            </w:tabs>
            <w:spacing w:line="240" w:lineRule="auto"/>
            <w:jc w:val="both"/>
            <w:rPr>
              <w:rFonts w:cstheme="minorHAnsi"/>
              <w:sz w:val="23"/>
              <w:szCs w:val="23"/>
            </w:rPr>
          </w:pPr>
        </w:p>
        <w:p w14:paraId="0750136D" w14:textId="77777777" w:rsidR="008B3F63" w:rsidRPr="009A1167" w:rsidRDefault="00C41B85" w:rsidP="009A1167">
          <w:pPr>
            <w:numPr>
              <w:ilvl w:val="0"/>
              <w:numId w:val="1"/>
            </w:numPr>
            <w:tabs>
              <w:tab w:val="left" w:pos="709"/>
            </w:tabs>
            <w:spacing w:line="240" w:lineRule="auto"/>
            <w:ind w:left="0" w:firstLine="0"/>
            <w:jc w:val="both"/>
            <w:rPr>
              <w:rFonts w:cstheme="minorHAnsi"/>
              <w:sz w:val="23"/>
              <w:szCs w:val="23"/>
            </w:rPr>
          </w:pPr>
          <w:r w:rsidRPr="009A1167">
            <w:rPr>
              <w:rFonts w:cstheme="minorHAnsi"/>
              <w:sz w:val="23"/>
              <w:szCs w:val="23"/>
            </w:rPr>
            <w:t>Selon le Baromètre global de la corruption 201</w:t>
          </w:r>
          <w:r w:rsidR="009A1167" w:rsidRPr="009A1167">
            <w:rPr>
              <w:rFonts w:cstheme="minorHAnsi"/>
              <w:sz w:val="23"/>
              <w:szCs w:val="23"/>
            </w:rPr>
            <w:t>8</w:t>
          </w:r>
          <w:r w:rsidRPr="009A1167">
            <w:rPr>
              <w:rFonts w:cstheme="minorHAnsi"/>
              <w:sz w:val="23"/>
              <w:szCs w:val="23"/>
            </w:rPr>
            <w:t xml:space="preserve"> de Transparency International, la perception de corruption dans la police en Belgique est légèrement meilleure que dans les autres institutions</w:t>
          </w:r>
          <w:r w:rsidR="009A1167" w:rsidRPr="009A1167">
            <w:rPr>
              <w:rFonts w:cstheme="minorHAnsi"/>
              <w:sz w:val="23"/>
              <w:szCs w:val="23"/>
            </w:rPr>
            <w:t>, seules 31% des personnes interrogées estimant que</w:t>
          </w:r>
          <w:r w:rsidRPr="009A1167">
            <w:rPr>
              <w:rFonts w:cstheme="minorHAnsi"/>
              <w:sz w:val="23"/>
              <w:szCs w:val="23"/>
            </w:rPr>
            <w:t> </w:t>
          </w:r>
          <w:r w:rsidR="009A1167" w:rsidRPr="009A1167">
            <w:rPr>
              <w:rFonts w:cstheme="minorHAnsi"/>
              <w:sz w:val="23"/>
              <w:szCs w:val="23"/>
            </w:rPr>
            <w:t xml:space="preserve">la corruption et l’abus de pouvoir y sont répandus. </w:t>
          </w:r>
          <w:bookmarkStart w:id="99" w:name="_Toc496597827"/>
          <w:bookmarkStart w:id="100" w:name="_Toc2777410"/>
        </w:p>
        <w:p w14:paraId="2605FF83" w14:textId="77777777" w:rsidR="009A1167" w:rsidRPr="009A1167" w:rsidRDefault="009A1167" w:rsidP="009A1167">
          <w:pPr>
            <w:tabs>
              <w:tab w:val="left" w:pos="709"/>
            </w:tabs>
            <w:spacing w:line="240" w:lineRule="auto"/>
            <w:jc w:val="both"/>
            <w:rPr>
              <w:rFonts w:eastAsiaTheme="majorEastAsia" w:cstheme="minorHAnsi"/>
              <w:bCs/>
              <w:i/>
              <w:sz w:val="23"/>
              <w:szCs w:val="23"/>
            </w:rPr>
          </w:pPr>
        </w:p>
        <w:p w14:paraId="4F27FFEF" w14:textId="77777777" w:rsidR="00F04834" w:rsidRPr="00406EBF" w:rsidRDefault="00F04834" w:rsidP="001878CC">
          <w:pPr>
            <w:pStyle w:val="Titre3"/>
            <w:keepLines w:val="0"/>
            <w:tabs>
              <w:tab w:val="left" w:pos="709"/>
            </w:tabs>
            <w:spacing w:before="0"/>
            <w:rPr>
              <w:rFonts w:asciiTheme="minorHAnsi" w:hAnsiTheme="minorHAnsi" w:cstheme="minorHAnsi"/>
              <w:b w:val="0"/>
              <w:i/>
              <w:color w:val="auto"/>
              <w:sz w:val="23"/>
              <w:szCs w:val="23"/>
            </w:rPr>
          </w:pPr>
          <w:bookmarkStart w:id="101" w:name="_Toc21339583"/>
          <w:r w:rsidRPr="00406EBF">
            <w:rPr>
              <w:rFonts w:asciiTheme="minorHAnsi" w:hAnsiTheme="minorHAnsi" w:cstheme="minorHAnsi"/>
              <w:b w:val="0"/>
              <w:i/>
              <w:color w:val="auto"/>
              <w:sz w:val="23"/>
              <w:szCs w:val="23"/>
            </w:rPr>
            <w:t>Syndicats et associations professionnelles</w:t>
          </w:r>
          <w:bookmarkEnd w:id="99"/>
          <w:bookmarkEnd w:id="100"/>
          <w:bookmarkEnd w:id="101"/>
          <w:r w:rsidRPr="00406EBF">
            <w:rPr>
              <w:rFonts w:asciiTheme="minorHAnsi" w:hAnsiTheme="minorHAnsi" w:cstheme="minorHAnsi"/>
              <w:b w:val="0"/>
              <w:i/>
              <w:color w:val="auto"/>
              <w:sz w:val="23"/>
              <w:szCs w:val="23"/>
            </w:rPr>
            <w:t xml:space="preserve"> </w:t>
          </w:r>
        </w:p>
        <w:p w14:paraId="4C924845" w14:textId="77777777" w:rsidR="007C316A" w:rsidRPr="00406EBF" w:rsidRDefault="007C316A" w:rsidP="001878CC">
          <w:pPr>
            <w:spacing w:line="240" w:lineRule="auto"/>
            <w:jc w:val="both"/>
            <w:rPr>
              <w:rFonts w:cstheme="minorHAnsi"/>
              <w:sz w:val="23"/>
              <w:szCs w:val="23"/>
            </w:rPr>
          </w:pPr>
        </w:p>
        <w:p w14:paraId="22EB4DBE" w14:textId="77777777" w:rsidR="007C316A" w:rsidRPr="00406EBF" w:rsidRDefault="00225588"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secteur policier compte six organisations syndicales agréées, dont quatre sont également représentatives</w:t>
          </w:r>
          <w:r w:rsidRPr="00406EBF">
            <w:rPr>
              <w:rStyle w:val="Appelnotedebasdep"/>
              <w:rFonts w:cstheme="minorHAnsi"/>
              <w:sz w:val="23"/>
              <w:szCs w:val="23"/>
            </w:rPr>
            <w:footnoteReference w:id="47"/>
          </w:r>
          <w:r w:rsidRPr="00406EBF">
            <w:rPr>
              <w:rFonts w:cstheme="minorHAnsi"/>
              <w:sz w:val="23"/>
              <w:szCs w:val="23"/>
            </w:rPr>
            <w:t> :</w:t>
          </w:r>
        </w:p>
        <w:p w14:paraId="38124139" w14:textId="77777777" w:rsidR="007C316A" w:rsidRPr="00406EBF" w:rsidRDefault="007C316A" w:rsidP="001878CC">
          <w:pPr>
            <w:spacing w:line="240" w:lineRule="auto"/>
            <w:jc w:val="both"/>
            <w:rPr>
              <w:rFonts w:cstheme="minorHAnsi"/>
              <w:sz w:val="23"/>
              <w:szCs w:val="23"/>
            </w:rPr>
          </w:pPr>
        </w:p>
        <w:p w14:paraId="2F5D0153" w14:textId="77777777" w:rsidR="007C316A" w:rsidRPr="00406EBF" w:rsidRDefault="00225588" w:rsidP="00225588">
          <w:pPr>
            <w:numPr>
              <w:ilvl w:val="1"/>
              <w:numId w:val="1"/>
            </w:numPr>
            <w:tabs>
              <w:tab w:val="left" w:pos="709"/>
            </w:tabs>
            <w:spacing w:line="240" w:lineRule="auto"/>
            <w:jc w:val="both"/>
            <w:rPr>
              <w:rFonts w:cstheme="minorHAnsi"/>
              <w:sz w:val="23"/>
              <w:szCs w:val="23"/>
            </w:rPr>
          </w:pPr>
          <w:r w:rsidRPr="00406EBF">
            <w:rPr>
              <w:rFonts w:cstheme="minorHAnsi"/>
              <w:sz w:val="23"/>
              <w:szCs w:val="23"/>
            </w:rPr>
            <w:t>Algemene Centrale van de Openbare Diensten (ACOD) – sector politie/Centrale générale des services publics (CGSP) – secteur police</w:t>
          </w:r>
          <w:r w:rsidRPr="00406EBF">
            <w:rPr>
              <w:rStyle w:val="Appelnotedebasdep"/>
              <w:rFonts w:cstheme="minorHAnsi"/>
              <w:sz w:val="23"/>
              <w:szCs w:val="23"/>
            </w:rPr>
            <w:footnoteReference w:id="48"/>
          </w:r>
          <w:r w:rsidR="00291FE5" w:rsidRPr="00406EBF">
            <w:rPr>
              <w:rFonts w:cstheme="minorHAnsi"/>
              <w:sz w:val="23"/>
              <w:szCs w:val="23"/>
            </w:rPr>
            <w:t> ;</w:t>
          </w:r>
        </w:p>
        <w:p w14:paraId="1E0889EC" w14:textId="77777777" w:rsidR="00291FE5" w:rsidRPr="00406EBF" w:rsidRDefault="00291FE5" w:rsidP="00225588">
          <w:pPr>
            <w:numPr>
              <w:ilvl w:val="1"/>
              <w:numId w:val="1"/>
            </w:numPr>
            <w:tabs>
              <w:tab w:val="left" w:pos="709"/>
            </w:tabs>
            <w:spacing w:line="240" w:lineRule="auto"/>
            <w:jc w:val="both"/>
            <w:rPr>
              <w:rFonts w:cstheme="minorHAnsi"/>
              <w:sz w:val="23"/>
              <w:szCs w:val="23"/>
            </w:rPr>
          </w:pPr>
          <w:r w:rsidRPr="00406EBF">
            <w:rPr>
              <w:rFonts w:cstheme="minorHAnsi"/>
              <w:sz w:val="23"/>
              <w:szCs w:val="23"/>
            </w:rPr>
            <w:t>Algemeen Christelijk Vakverbond – Openbare Diensten (ACV-Openbare Diensten/Confédération syndicale des syndicats chrétiens – services publics (CSC – Services publics)</w:t>
          </w:r>
          <w:r w:rsidRPr="00406EBF">
            <w:rPr>
              <w:rStyle w:val="Appelnotedebasdep"/>
              <w:rFonts w:cstheme="minorHAnsi"/>
              <w:sz w:val="23"/>
              <w:szCs w:val="23"/>
            </w:rPr>
            <w:footnoteReference w:id="49"/>
          </w:r>
          <w:r w:rsidRPr="00406EBF">
            <w:rPr>
              <w:rFonts w:cstheme="minorHAnsi"/>
              <w:sz w:val="23"/>
              <w:szCs w:val="23"/>
            </w:rPr>
            <w:t> ;</w:t>
          </w:r>
        </w:p>
        <w:p w14:paraId="489FE220" w14:textId="77777777" w:rsidR="00291FE5" w:rsidRPr="00406EBF" w:rsidRDefault="00291FE5" w:rsidP="00225588">
          <w:pPr>
            <w:numPr>
              <w:ilvl w:val="1"/>
              <w:numId w:val="1"/>
            </w:numPr>
            <w:tabs>
              <w:tab w:val="left" w:pos="709"/>
            </w:tabs>
            <w:spacing w:line="240" w:lineRule="auto"/>
            <w:jc w:val="both"/>
            <w:rPr>
              <w:rFonts w:cstheme="minorHAnsi"/>
              <w:sz w:val="23"/>
              <w:szCs w:val="23"/>
            </w:rPr>
          </w:pPr>
          <w:r w:rsidRPr="00406EBF">
            <w:rPr>
              <w:rFonts w:cstheme="minorHAnsi"/>
              <w:sz w:val="23"/>
              <w:szCs w:val="23"/>
            </w:rPr>
            <w:t>Nationaal Syndicaat van het Politie- en Veiligheidspersoneel (NSPV)/Syndicat national du personnel de police et de sécurité (SNPS)</w:t>
          </w:r>
          <w:r w:rsidRPr="00406EBF">
            <w:rPr>
              <w:rStyle w:val="Appelnotedebasdep"/>
              <w:rFonts w:cstheme="minorHAnsi"/>
              <w:sz w:val="23"/>
              <w:szCs w:val="23"/>
            </w:rPr>
            <w:footnoteReference w:id="50"/>
          </w:r>
          <w:r w:rsidRPr="00406EBF">
            <w:rPr>
              <w:rFonts w:cstheme="minorHAnsi"/>
              <w:sz w:val="23"/>
              <w:szCs w:val="23"/>
            </w:rPr>
            <w:t> ;</w:t>
          </w:r>
        </w:p>
        <w:p w14:paraId="38B2B2BA" w14:textId="77777777" w:rsidR="00291FE5" w:rsidRPr="00406EBF" w:rsidRDefault="00291FE5" w:rsidP="00225588">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Vrij Syndicaat voor het Openbaar Ambt </w:t>
          </w:r>
          <w:r w:rsidR="005C4789" w:rsidRPr="00406EBF">
            <w:rPr>
              <w:rFonts w:cstheme="minorHAnsi"/>
              <w:sz w:val="23"/>
              <w:szCs w:val="23"/>
            </w:rPr>
            <w:t>(VSOA)/Syndicat libre de la fonction publique (SLFP)</w:t>
          </w:r>
          <w:r w:rsidR="005C4789" w:rsidRPr="00406EBF">
            <w:rPr>
              <w:rStyle w:val="Appelnotedebasdep"/>
              <w:rFonts w:cstheme="minorHAnsi"/>
              <w:sz w:val="23"/>
              <w:szCs w:val="23"/>
            </w:rPr>
            <w:footnoteReference w:id="51"/>
          </w:r>
          <w:r w:rsidR="005C4789" w:rsidRPr="00406EBF">
            <w:rPr>
              <w:rFonts w:cstheme="minorHAnsi"/>
              <w:sz w:val="23"/>
              <w:szCs w:val="23"/>
            </w:rPr>
            <w:t> ;</w:t>
          </w:r>
        </w:p>
        <w:p w14:paraId="3A7F5FE3" w14:textId="77777777" w:rsidR="005C4789" w:rsidRPr="00406EBF" w:rsidRDefault="005C4789" w:rsidP="00225588">
          <w:pPr>
            <w:numPr>
              <w:ilvl w:val="1"/>
              <w:numId w:val="1"/>
            </w:numPr>
            <w:tabs>
              <w:tab w:val="left" w:pos="709"/>
            </w:tabs>
            <w:spacing w:line="240" w:lineRule="auto"/>
            <w:jc w:val="both"/>
            <w:rPr>
              <w:rFonts w:cstheme="minorHAnsi"/>
              <w:sz w:val="23"/>
              <w:szCs w:val="23"/>
            </w:rPr>
          </w:pPr>
          <w:r w:rsidRPr="00406EBF">
            <w:rPr>
              <w:rFonts w:cstheme="minorHAnsi"/>
              <w:sz w:val="23"/>
              <w:szCs w:val="23"/>
            </w:rPr>
            <w:t>Syndicaat van de Belgische Politie (Sypol.be)/Syndicat de la police belge (non représentatif)</w:t>
          </w:r>
          <w:r w:rsidRPr="00406EBF">
            <w:rPr>
              <w:rStyle w:val="Appelnotedebasdep"/>
              <w:rFonts w:cstheme="minorHAnsi"/>
              <w:sz w:val="23"/>
              <w:szCs w:val="23"/>
            </w:rPr>
            <w:footnoteReference w:id="52"/>
          </w:r>
          <w:r w:rsidRPr="00406EBF">
            <w:rPr>
              <w:rFonts w:cstheme="minorHAnsi"/>
              <w:sz w:val="23"/>
              <w:szCs w:val="23"/>
            </w:rPr>
            <w:t> ;</w:t>
          </w:r>
        </w:p>
        <w:p w14:paraId="438E6AE5" w14:textId="77777777" w:rsidR="005C4789" w:rsidRPr="00406EBF" w:rsidRDefault="005C4789" w:rsidP="00225588">
          <w:pPr>
            <w:numPr>
              <w:ilvl w:val="1"/>
              <w:numId w:val="1"/>
            </w:numPr>
            <w:tabs>
              <w:tab w:val="left" w:pos="709"/>
            </w:tabs>
            <w:spacing w:line="240" w:lineRule="auto"/>
            <w:jc w:val="both"/>
            <w:rPr>
              <w:rFonts w:cstheme="minorHAnsi"/>
              <w:sz w:val="23"/>
              <w:szCs w:val="23"/>
            </w:rPr>
          </w:pPr>
          <w:r w:rsidRPr="00406EBF">
            <w:rPr>
              <w:rFonts w:cstheme="minorHAnsi"/>
              <w:sz w:val="23"/>
              <w:szCs w:val="23"/>
            </w:rPr>
            <w:t>Nationale Unie der Openbare Diensten (NUOD)/Union nationale des services publics (UNSP).</w:t>
          </w:r>
        </w:p>
        <w:p w14:paraId="49A7AE74" w14:textId="77777777" w:rsidR="005C4789" w:rsidRPr="00406EBF" w:rsidRDefault="005C4789" w:rsidP="005C4789">
          <w:pPr>
            <w:tabs>
              <w:tab w:val="left" w:pos="709"/>
            </w:tabs>
            <w:spacing w:line="240" w:lineRule="auto"/>
            <w:ind w:left="1080"/>
            <w:jc w:val="both"/>
            <w:rPr>
              <w:rFonts w:cstheme="minorHAnsi"/>
              <w:sz w:val="23"/>
              <w:szCs w:val="23"/>
            </w:rPr>
          </w:pPr>
        </w:p>
        <w:p w14:paraId="40DC7B1F" w14:textId="77777777" w:rsidR="005C4789" w:rsidRPr="00406EBF" w:rsidRDefault="005C4789" w:rsidP="0041229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Dans le cadre de la politique d’intégrité, les organisations syndicales ont d’une part une fonction d’avis au sein des différents forums où sont préparées et fixées des directives de politique et d’autre part</w:t>
          </w:r>
          <w:r w:rsidR="00412298" w:rsidRPr="00406EBF">
            <w:rPr>
              <w:rFonts w:cstheme="minorHAnsi"/>
              <w:sz w:val="23"/>
              <w:szCs w:val="23"/>
            </w:rPr>
            <w:t>, elles ont une fonction de signal lorsque des problèmes d’intégrité se posent.</w:t>
          </w:r>
        </w:p>
        <w:p w14:paraId="656C2C13" w14:textId="77777777" w:rsidR="00412298" w:rsidRPr="00406EBF" w:rsidRDefault="00412298" w:rsidP="00412298">
          <w:pPr>
            <w:tabs>
              <w:tab w:val="left" w:pos="709"/>
            </w:tabs>
            <w:spacing w:line="240" w:lineRule="auto"/>
            <w:jc w:val="both"/>
            <w:rPr>
              <w:rFonts w:cstheme="minorHAnsi"/>
              <w:sz w:val="23"/>
              <w:szCs w:val="23"/>
            </w:rPr>
          </w:pPr>
        </w:p>
        <w:p w14:paraId="01E3D09D" w14:textId="204C132C" w:rsidR="00412298" w:rsidRPr="00406EBF" w:rsidRDefault="00412298" w:rsidP="0041229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organisations syndicales représentatives sont notamment membres de la </w:t>
          </w:r>
          <w:r w:rsidR="00562AA4">
            <w:rPr>
              <w:rFonts w:cstheme="minorHAnsi"/>
              <w:sz w:val="23"/>
              <w:szCs w:val="23"/>
            </w:rPr>
            <w:t>C</w:t>
          </w:r>
          <w:r w:rsidRPr="00406EBF">
            <w:rPr>
              <w:rFonts w:cstheme="minorHAnsi"/>
              <w:sz w:val="23"/>
              <w:szCs w:val="23"/>
            </w:rPr>
            <w:t xml:space="preserve">ommission de déontologie </w:t>
          </w:r>
          <w:r w:rsidR="00562AA4">
            <w:rPr>
              <w:rFonts w:cstheme="minorHAnsi"/>
              <w:sz w:val="23"/>
              <w:szCs w:val="23"/>
            </w:rPr>
            <w:t>de la Police</w:t>
          </w:r>
          <w:r w:rsidR="003B322B">
            <w:rPr>
              <w:rFonts w:cstheme="minorHAnsi"/>
              <w:sz w:val="23"/>
              <w:szCs w:val="23"/>
            </w:rPr>
            <w:t xml:space="preserve"> </w:t>
          </w:r>
          <w:r w:rsidRPr="00406EBF">
            <w:rPr>
              <w:rFonts w:cstheme="minorHAnsi"/>
              <w:sz w:val="23"/>
              <w:szCs w:val="23"/>
            </w:rPr>
            <w:t>(voir ci-dessous). Au sein du Comité de négociation des services de police, l’avis des organisations syndicales est l'une des formalités requises lors du développement de nouvelles directives portant sur des questions statutaires et/ou d'intégrité</w:t>
          </w:r>
          <w:r w:rsidR="002512F2" w:rsidRPr="00406EBF">
            <w:rPr>
              <w:rFonts w:cstheme="minorHAnsi"/>
              <w:sz w:val="23"/>
              <w:szCs w:val="23"/>
            </w:rPr>
            <w:t>.</w:t>
          </w:r>
          <w:r w:rsidRPr="00406EBF">
            <w:rPr>
              <w:rFonts w:cstheme="minorHAnsi"/>
              <w:sz w:val="23"/>
              <w:szCs w:val="23"/>
            </w:rPr>
            <w:t xml:space="preserve"> Enfin, leur point de vue est également écouté lorsqu’il s’agit d’élaborer ou d’appliquer des notes internes de la police fédérale et/ou de l’un de ses services au sein des comités de concer</w:t>
          </w:r>
          <w:r w:rsidR="00FE3DF6">
            <w:rPr>
              <w:rFonts w:cstheme="minorHAnsi"/>
              <w:sz w:val="23"/>
              <w:szCs w:val="23"/>
            </w:rPr>
            <w:t>t</w:t>
          </w:r>
          <w:r w:rsidRPr="00406EBF">
            <w:rPr>
              <w:rFonts w:cstheme="minorHAnsi"/>
              <w:sz w:val="23"/>
              <w:szCs w:val="23"/>
            </w:rPr>
            <w:t>ation. Au sein de ces forums, les organisations syndicales ont par ailleurs la possibilité d’aborder d’éventuels dysfonctionnements en matière d’intégrité.</w:t>
          </w:r>
        </w:p>
        <w:p w14:paraId="1BC6C63E" w14:textId="77777777" w:rsidR="00F513D1" w:rsidRPr="00406EBF" w:rsidRDefault="00F513D1" w:rsidP="001878CC">
          <w:pPr>
            <w:tabs>
              <w:tab w:val="left" w:pos="709"/>
            </w:tabs>
            <w:spacing w:line="240" w:lineRule="auto"/>
            <w:jc w:val="both"/>
            <w:rPr>
              <w:rFonts w:cstheme="minorHAnsi"/>
              <w:sz w:val="23"/>
              <w:szCs w:val="23"/>
            </w:rPr>
          </w:pPr>
        </w:p>
        <w:p w14:paraId="33AFFCA3" w14:textId="77777777" w:rsidR="00F04834" w:rsidRPr="00406EBF" w:rsidRDefault="00F04834" w:rsidP="001878CC">
          <w:pPr>
            <w:pStyle w:val="Titre2"/>
            <w:tabs>
              <w:tab w:val="left" w:pos="709"/>
            </w:tabs>
            <w:spacing w:before="0" w:line="240" w:lineRule="auto"/>
            <w:rPr>
              <w:rFonts w:asciiTheme="minorHAnsi" w:hAnsiTheme="minorHAnsi"/>
              <w:color w:val="auto"/>
              <w:sz w:val="23"/>
              <w:szCs w:val="23"/>
              <w:u w:val="single"/>
            </w:rPr>
          </w:pPr>
          <w:bookmarkStart w:id="102" w:name="_Toc2777411"/>
          <w:bookmarkStart w:id="103" w:name="_Toc21339584"/>
          <w:r w:rsidRPr="00406EBF">
            <w:rPr>
              <w:rFonts w:asciiTheme="minorHAnsi" w:hAnsiTheme="minorHAnsi"/>
              <w:color w:val="auto"/>
              <w:sz w:val="23"/>
              <w:szCs w:val="23"/>
              <w:u w:val="single"/>
            </w:rPr>
            <w:t>Politique anticorruption et d'intégrité, cadre réglementaire et institutionnel</w:t>
          </w:r>
          <w:bookmarkEnd w:id="102"/>
          <w:bookmarkEnd w:id="103"/>
        </w:p>
        <w:p w14:paraId="017BC7F8" w14:textId="77777777" w:rsidR="00F04834" w:rsidRPr="00406EBF" w:rsidRDefault="00F04834" w:rsidP="001878CC">
          <w:pPr>
            <w:pStyle w:val="Titre3"/>
            <w:tabs>
              <w:tab w:val="left" w:pos="5610"/>
            </w:tabs>
            <w:spacing w:before="0" w:line="240" w:lineRule="auto"/>
            <w:jc w:val="both"/>
            <w:rPr>
              <w:rFonts w:asciiTheme="minorHAnsi" w:hAnsiTheme="minorHAnsi" w:cstheme="minorHAnsi"/>
              <w:b w:val="0"/>
              <w:color w:val="auto"/>
              <w:sz w:val="23"/>
              <w:szCs w:val="23"/>
            </w:rPr>
          </w:pPr>
        </w:p>
        <w:p w14:paraId="04B324E7" w14:textId="77777777" w:rsidR="00F04834" w:rsidRPr="00406EBF" w:rsidRDefault="00F04834" w:rsidP="001878CC">
          <w:pPr>
            <w:pStyle w:val="Titre3"/>
            <w:tabs>
              <w:tab w:val="left" w:pos="709"/>
            </w:tabs>
            <w:spacing w:before="0" w:line="240" w:lineRule="auto"/>
            <w:rPr>
              <w:rFonts w:asciiTheme="minorHAnsi" w:hAnsiTheme="minorHAnsi" w:cstheme="minorHAnsi"/>
              <w:b w:val="0"/>
              <w:i/>
              <w:color w:val="auto"/>
              <w:sz w:val="23"/>
              <w:szCs w:val="23"/>
            </w:rPr>
          </w:pPr>
          <w:bookmarkStart w:id="104" w:name="_Toc2777412"/>
          <w:bookmarkStart w:id="105" w:name="_Toc21339585"/>
          <w:r w:rsidRPr="00406EBF">
            <w:rPr>
              <w:rFonts w:asciiTheme="minorHAnsi" w:hAnsiTheme="minorHAnsi" w:cstheme="minorHAnsi"/>
              <w:b w:val="0"/>
              <w:i/>
              <w:color w:val="auto"/>
              <w:sz w:val="23"/>
              <w:szCs w:val="23"/>
            </w:rPr>
            <w:t>Cadre législatif et réglementaire</w:t>
          </w:r>
          <w:bookmarkEnd w:id="104"/>
          <w:bookmarkEnd w:id="105"/>
        </w:p>
        <w:p w14:paraId="679B610C" w14:textId="77777777" w:rsidR="00F513D1" w:rsidRPr="00406EBF" w:rsidRDefault="00F513D1" w:rsidP="001878CC">
          <w:pPr>
            <w:tabs>
              <w:tab w:val="left" w:pos="709"/>
            </w:tabs>
            <w:spacing w:line="240" w:lineRule="auto"/>
            <w:jc w:val="both"/>
            <w:rPr>
              <w:rFonts w:cstheme="minorHAnsi"/>
              <w:sz w:val="23"/>
              <w:szCs w:val="23"/>
            </w:rPr>
          </w:pPr>
        </w:p>
        <w:p w14:paraId="4EE6F85C" w14:textId="77777777" w:rsidR="005D6AF1" w:rsidRPr="00406EBF" w:rsidRDefault="00DE6288" w:rsidP="00DE628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cadre réglementaire applicable à la police fédérale comprend</w:t>
          </w:r>
          <w:r w:rsidR="005D6AF1" w:rsidRPr="00406EBF">
            <w:rPr>
              <w:rFonts w:cstheme="minorHAnsi"/>
              <w:sz w:val="23"/>
              <w:szCs w:val="23"/>
            </w:rPr>
            <w:t> :</w:t>
          </w:r>
        </w:p>
        <w:p w14:paraId="0DD2CAB3" w14:textId="77777777" w:rsidR="005D6AF1" w:rsidRPr="00406EBF" w:rsidRDefault="00DE6288" w:rsidP="005D6AF1">
          <w:pPr>
            <w:numPr>
              <w:ilvl w:val="1"/>
              <w:numId w:val="1"/>
            </w:numPr>
            <w:tabs>
              <w:tab w:val="left" w:pos="709"/>
            </w:tabs>
            <w:spacing w:line="240" w:lineRule="auto"/>
            <w:jc w:val="both"/>
            <w:rPr>
              <w:rFonts w:cstheme="minorHAnsi"/>
              <w:sz w:val="23"/>
              <w:szCs w:val="23"/>
            </w:rPr>
          </w:pPr>
          <w:r w:rsidRPr="00406EBF">
            <w:rPr>
              <w:rFonts w:cstheme="minorHAnsi"/>
              <w:sz w:val="23"/>
              <w:szCs w:val="23"/>
            </w:rPr>
            <w:t>le Code d’instruction</w:t>
          </w:r>
          <w:r w:rsidR="005D6AF1" w:rsidRPr="00406EBF">
            <w:rPr>
              <w:rFonts w:cstheme="minorHAnsi"/>
              <w:sz w:val="23"/>
              <w:szCs w:val="23"/>
            </w:rPr>
            <w:t xml:space="preserve"> criminelle du 17 novembre 1808 ;</w:t>
          </w:r>
        </w:p>
        <w:p w14:paraId="6AB6F05E" w14:textId="77777777" w:rsidR="005D6AF1" w:rsidRPr="00406EBF" w:rsidRDefault="00DE6288" w:rsidP="005D6AF1">
          <w:pPr>
            <w:numPr>
              <w:ilvl w:val="1"/>
              <w:numId w:val="1"/>
            </w:numPr>
            <w:tabs>
              <w:tab w:val="left" w:pos="709"/>
            </w:tabs>
            <w:spacing w:line="240" w:lineRule="auto"/>
            <w:jc w:val="both"/>
            <w:rPr>
              <w:rFonts w:cstheme="minorHAnsi"/>
              <w:sz w:val="23"/>
              <w:szCs w:val="23"/>
            </w:rPr>
          </w:pPr>
          <w:r w:rsidRPr="00406EBF">
            <w:rPr>
              <w:rFonts w:cstheme="minorHAnsi"/>
              <w:sz w:val="23"/>
              <w:szCs w:val="23"/>
            </w:rPr>
            <w:t>la loi du 5 août 1992 sur la fonction de police</w:t>
          </w:r>
          <w:r w:rsidR="005D6AF1" w:rsidRPr="00406EBF">
            <w:rPr>
              <w:rFonts w:cstheme="minorHAnsi"/>
              <w:sz w:val="23"/>
              <w:szCs w:val="23"/>
            </w:rPr>
            <w:t> ;</w:t>
          </w:r>
        </w:p>
        <w:p w14:paraId="073040F6" w14:textId="77777777" w:rsidR="00DE6288" w:rsidRPr="00406EBF" w:rsidRDefault="00DE6288" w:rsidP="005D6AF1">
          <w:pPr>
            <w:numPr>
              <w:ilvl w:val="1"/>
              <w:numId w:val="1"/>
            </w:numPr>
            <w:tabs>
              <w:tab w:val="left" w:pos="709"/>
            </w:tabs>
            <w:spacing w:line="240" w:lineRule="auto"/>
            <w:jc w:val="both"/>
            <w:rPr>
              <w:rFonts w:cstheme="minorHAnsi"/>
              <w:sz w:val="23"/>
              <w:szCs w:val="23"/>
            </w:rPr>
          </w:pPr>
          <w:r w:rsidRPr="00406EBF">
            <w:rPr>
              <w:rFonts w:cstheme="minorHAnsi"/>
              <w:sz w:val="23"/>
              <w:szCs w:val="23"/>
            </w:rPr>
            <w:t>la loi du 7 décembre 1998 organisant un service de police intégré, structuré à deux niveaux</w:t>
          </w:r>
          <w:r w:rsidR="005D6AF1" w:rsidRPr="00406EBF">
            <w:rPr>
              <w:rFonts w:cstheme="minorHAnsi"/>
              <w:sz w:val="23"/>
              <w:szCs w:val="23"/>
            </w:rPr>
            <w:t> ;</w:t>
          </w:r>
        </w:p>
        <w:p w14:paraId="6138C5AD" w14:textId="77777777" w:rsidR="005D6AF1" w:rsidRPr="00406EBF" w:rsidRDefault="005D6AF1" w:rsidP="005D6AF1">
          <w:pPr>
            <w:numPr>
              <w:ilvl w:val="1"/>
              <w:numId w:val="1"/>
            </w:numPr>
            <w:tabs>
              <w:tab w:val="left" w:pos="709"/>
            </w:tabs>
            <w:spacing w:line="240" w:lineRule="auto"/>
            <w:jc w:val="both"/>
            <w:rPr>
              <w:rFonts w:cstheme="minorHAnsi"/>
              <w:sz w:val="23"/>
              <w:szCs w:val="23"/>
            </w:rPr>
          </w:pPr>
          <w:r w:rsidRPr="00406EBF">
            <w:rPr>
              <w:rFonts w:cstheme="minorHAnsi"/>
              <w:sz w:val="23"/>
              <w:szCs w:val="23"/>
            </w:rPr>
            <w:t>la loi du 26 avril 2002 relative aux éléments essentiels du statut des membres du personnel des services de police et portant diverses autres dispositions relatives aux services de police ;</w:t>
          </w:r>
        </w:p>
        <w:p w14:paraId="5A047369" w14:textId="3F744648" w:rsidR="005D6AF1" w:rsidRDefault="005D6AF1" w:rsidP="005D6AF1">
          <w:pPr>
            <w:numPr>
              <w:ilvl w:val="1"/>
              <w:numId w:val="1"/>
            </w:numPr>
            <w:tabs>
              <w:tab w:val="left" w:pos="709"/>
            </w:tabs>
            <w:spacing w:line="240" w:lineRule="auto"/>
            <w:jc w:val="both"/>
            <w:rPr>
              <w:rFonts w:cstheme="minorHAnsi"/>
              <w:sz w:val="23"/>
              <w:szCs w:val="23"/>
            </w:rPr>
          </w:pPr>
          <w:r w:rsidRPr="00406EBF">
            <w:rPr>
              <w:rFonts w:cstheme="minorHAnsi"/>
              <w:sz w:val="23"/>
              <w:szCs w:val="23"/>
            </w:rPr>
            <w:t>l’arrêté royal du 30 mars 2001 portant la position juridique du personnel des services de police ;</w:t>
          </w:r>
        </w:p>
        <w:p w14:paraId="6AB90601" w14:textId="56E609D8" w:rsidR="0008108E" w:rsidRPr="00406EBF" w:rsidRDefault="0008108E" w:rsidP="005D6AF1">
          <w:pPr>
            <w:numPr>
              <w:ilvl w:val="1"/>
              <w:numId w:val="1"/>
            </w:numPr>
            <w:tabs>
              <w:tab w:val="left" w:pos="709"/>
            </w:tabs>
            <w:spacing w:line="240" w:lineRule="auto"/>
            <w:jc w:val="both"/>
            <w:rPr>
              <w:rFonts w:cstheme="minorHAnsi"/>
              <w:sz w:val="23"/>
              <w:szCs w:val="23"/>
            </w:rPr>
          </w:pPr>
          <w:r>
            <w:rPr>
              <w:rFonts w:cstheme="minorHAnsi"/>
              <w:sz w:val="23"/>
              <w:szCs w:val="23"/>
            </w:rPr>
            <w:t>l’arrêté royal du 10 mai 2006 fixant le code de déontologie des services de police ;</w:t>
          </w:r>
        </w:p>
        <w:p w14:paraId="77CC5CC1" w14:textId="77777777" w:rsidR="005D6AF1" w:rsidRPr="00406EBF" w:rsidRDefault="005D6AF1" w:rsidP="005D6AF1">
          <w:pPr>
            <w:numPr>
              <w:ilvl w:val="1"/>
              <w:numId w:val="1"/>
            </w:numPr>
            <w:tabs>
              <w:tab w:val="left" w:pos="709"/>
            </w:tabs>
            <w:spacing w:line="240" w:lineRule="auto"/>
            <w:jc w:val="both"/>
            <w:rPr>
              <w:rFonts w:cstheme="minorHAnsi"/>
              <w:sz w:val="23"/>
              <w:szCs w:val="23"/>
            </w:rPr>
          </w:pPr>
          <w:r w:rsidRPr="00406EBF">
            <w:rPr>
              <w:rFonts w:cstheme="minorHAnsi"/>
              <w:sz w:val="23"/>
              <w:szCs w:val="23"/>
            </w:rPr>
            <w:t>l’arrêté royal du 14 novembre 2006 relatif à l’organisation et aux compétences de la police fédérale.</w:t>
          </w:r>
        </w:p>
        <w:p w14:paraId="760F619B" w14:textId="77777777" w:rsidR="007C316A" w:rsidRPr="00406EBF" w:rsidRDefault="007C316A" w:rsidP="001878CC">
          <w:pPr>
            <w:spacing w:line="240" w:lineRule="auto"/>
            <w:jc w:val="both"/>
            <w:rPr>
              <w:rFonts w:cstheme="minorHAnsi"/>
              <w:sz w:val="23"/>
              <w:szCs w:val="23"/>
            </w:rPr>
          </w:pPr>
        </w:p>
        <w:p w14:paraId="47205D23" w14:textId="72B1B660" w:rsidR="007C316A" w:rsidRPr="00406EBF" w:rsidRDefault="0008108E" w:rsidP="001878CC">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Tous les mandataires de la police fédérale</w:t>
          </w:r>
          <w:r w:rsidR="005D6AF1" w:rsidRPr="00406EBF">
            <w:rPr>
              <w:rFonts w:cstheme="minorHAnsi"/>
              <w:sz w:val="23"/>
              <w:szCs w:val="23"/>
            </w:rPr>
            <w:t xml:space="preserve"> adopte</w:t>
          </w:r>
          <w:r>
            <w:rPr>
              <w:rFonts w:cstheme="minorHAnsi"/>
              <w:sz w:val="23"/>
              <w:szCs w:val="23"/>
            </w:rPr>
            <w:t>nt</w:t>
          </w:r>
          <w:r w:rsidR="005D6AF1" w:rsidRPr="00406EBF">
            <w:rPr>
              <w:rFonts w:cstheme="minorHAnsi"/>
              <w:sz w:val="23"/>
              <w:szCs w:val="23"/>
            </w:rPr>
            <w:t xml:space="preserve"> en outre une lettre de mission, qui énonce des objectifs </w:t>
          </w:r>
          <w:r w:rsidR="00A36B19" w:rsidRPr="00406EBF">
            <w:rPr>
              <w:rFonts w:cstheme="minorHAnsi"/>
              <w:sz w:val="23"/>
              <w:szCs w:val="23"/>
            </w:rPr>
            <w:t xml:space="preserve">stratégiques, des objectifs transversaux et des valeurs. </w:t>
          </w:r>
        </w:p>
        <w:p w14:paraId="3FA1DBDC" w14:textId="77777777" w:rsidR="00F513D1" w:rsidRPr="00406EBF" w:rsidRDefault="00F513D1" w:rsidP="001878CC">
          <w:pPr>
            <w:tabs>
              <w:tab w:val="left" w:pos="709"/>
            </w:tabs>
            <w:spacing w:line="240" w:lineRule="auto"/>
            <w:jc w:val="both"/>
            <w:rPr>
              <w:rFonts w:cstheme="minorHAnsi"/>
              <w:sz w:val="23"/>
              <w:szCs w:val="23"/>
            </w:rPr>
          </w:pPr>
        </w:p>
        <w:p w14:paraId="3F7C6016" w14:textId="77777777" w:rsidR="00F04834" w:rsidRPr="00406EBF" w:rsidRDefault="00F04834" w:rsidP="001878CC">
          <w:pPr>
            <w:pStyle w:val="Titre3"/>
            <w:tabs>
              <w:tab w:val="left" w:pos="709"/>
            </w:tabs>
            <w:spacing w:before="0" w:line="240" w:lineRule="auto"/>
            <w:rPr>
              <w:rFonts w:asciiTheme="minorHAnsi" w:hAnsiTheme="minorHAnsi" w:cstheme="minorHAnsi"/>
              <w:b w:val="0"/>
              <w:i/>
              <w:color w:val="auto"/>
              <w:sz w:val="23"/>
              <w:szCs w:val="23"/>
            </w:rPr>
          </w:pPr>
          <w:bookmarkStart w:id="106" w:name="_Toc2777413"/>
          <w:bookmarkStart w:id="107" w:name="_Toc21339586"/>
          <w:r w:rsidRPr="00406EBF">
            <w:rPr>
              <w:rFonts w:asciiTheme="minorHAnsi" w:hAnsiTheme="minorHAnsi" w:cstheme="minorHAnsi"/>
              <w:b w:val="0"/>
              <w:i/>
              <w:color w:val="auto"/>
              <w:sz w:val="23"/>
              <w:szCs w:val="23"/>
            </w:rPr>
            <w:t>Cadre institutionnel</w:t>
          </w:r>
          <w:bookmarkEnd w:id="106"/>
          <w:bookmarkEnd w:id="107"/>
        </w:p>
        <w:p w14:paraId="217F0BAE" w14:textId="77777777" w:rsidR="007C316A" w:rsidRPr="00406EBF" w:rsidRDefault="007C316A" w:rsidP="001878CC">
          <w:pPr>
            <w:spacing w:line="240" w:lineRule="auto"/>
            <w:jc w:val="both"/>
            <w:rPr>
              <w:rFonts w:cstheme="minorHAnsi"/>
              <w:sz w:val="23"/>
              <w:szCs w:val="23"/>
            </w:rPr>
          </w:pPr>
        </w:p>
        <w:p w14:paraId="21EFC3F7" w14:textId="7B95D879" w:rsidR="00D50B00" w:rsidRPr="00406EBF" w:rsidRDefault="00767721" w:rsidP="007F4B04">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w:t>
          </w:r>
          <w:r w:rsidRPr="00406EBF">
            <w:rPr>
              <w:rFonts w:cstheme="minorHAnsi"/>
              <w:sz w:val="23"/>
              <w:szCs w:val="23"/>
              <w:u w:val="single"/>
            </w:rPr>
            <w:t>Service CG/Intégrité</w:t>
          </w:r>
          <w:r w:rsidRPr="00406EBF">
            <w:rPr>
              <w:rFonts w:cstheme="minorHAnsi"/>
              <w:sz w:val="23"/>
              <w:szCs w:val="23"/>
            </w:rPr>
            <w:t xml:space="preserve"> </w:t>
          </w:r>
          <w:r w:rsidR="00D50B00" w:rsidRPr="00406EBF">
            <w:rPr>
              <w:rFonts w:cstheme="minorHAnsi"/>
              <w:sz w:val="23"/>
              <w:szCs w:val="23"/>
            </w:rPr>
            <w:t xml:space="preserve">a une fonction de coordination, d’expertise et de conseil en matière d’intégrité. Il dépend directement du Commissaire général et est actuellement composé d’une seule personne, sur un effectif théorique de quatre. </w:t>
          </w:r>
          <w:r w:rsidR="00515629" w:rsidRPr="00406EBF">
            <w:rPr>
              <w:rFonts w:cstheme="minorHAnsi"/>
              <w:sz w:val="23"/>
              <w:szCs w:val="23"/>
            </w:rPr>
            <w:t xml:space="preserve">Il </w:t>
          </w:r>
          <w:r w:rsidRPr="00406EBF">
            <w:rPr>
              <w:rFonts w:cstheme="minorHAnsi"/>
              <w:sz w:val="23"/>
              <w:szCs w:val="23"/>
            </w:rPr>
            <w:t xml:space="preserve">est </w:t>
          </w:r>
          <w:r w:rsidR="00515629" w:rsidRPr="00406EBF">
            <w:rPr>
              <w:rFonts w:cstheme="minorHAnsi"/>
              <w:noProof/>
              <w:sz w:val="23"/>
              <w:szCs w:val="23"/>
            </w:rPr>
            <w:t xml:space="preserve">chargé de développer la politique d’intégrité définie par le comité de direction et/ou le </w:t>
          </w:r>
          <w:r w:rsidR="009A1167">
            <w:rPr>
              <w:rFonts w:cstheme="minorHAnsi"/>
              <w:noProof/>
              <w:sz w:val="23"/>
              <w:szCs w:val="23"/>
            </w:rPr>
            <w:t>C</w:t>
          </w:r>
          <w:r w:rsidR="00515629" w:rsidRPr="00406EBF">
            <w:rPr>
              <w:rFonts w:cstheme="minorHAnsi"/>
              <w:noProof/>
              <w:sz w:val="23"/>
              <w:szCs w:val="23"/>
            </w:rPr>
            <w:t>ommissaire général et est aussi</w:t>
          </w:r>
          <w:r w:rsidR="00515629" w:rsidRPr="00406EBF">
            <w:rPr>
              <w:rFonts w:cstheme="minorHAnsi"/>
              <w:sz w:val="23"/>
              <w:szCs w:val="23"/>
            </w:rPr>
            <w:t xml:space="preserve"> </w:t>
          </w:r>
          <w:r w:rsidRPr="00406EBF">
            <w:rPr>
              <w:rFonts w:cstheme="minorHAnsi"/>
              <w:sz w:val="23"/>
              <w:szCs w:val="23"/>
            </w:rPr>
            <w:t xml:space="preserve">responsable pour la surveillance et le contrôle de la mise en œuvre de </w:t>
          </w:r>
          <w:r w:rsidR="00515629" w:rsidRPr="00406EBF">
            <w:rPr>
              <w:rFonts w:cstheme="minorHAnsi"/>
              <w:sz w:val="23"/>
              <w:szCs w:val="23"/>
            </w:rPr>
            <w:t>cette</w:t>
          </w:r>
          <w:r w:rsidRPr="00406EBF">
            <w:rPr>
              <w:rFonts w:cstheme="minorHAnsi"/>
              <w:sz w:val="23"/>
              <w:szCs w:val="23"/>
            </w:rPr>
            <w:t xml:space="preserve"> politique</w:t>
          </w:r>
          <w:r w:rsidR="00DB5528" w:rsidRPr="00406EBF">
            <w:rPr>
              <w:rFonts w:cstheme="minorHAnsi"/>
              <w:noProof/>
              <w:sz w:val="23"/>
              <w:szCs w:val="23"/>
            </w:rPr>
            <w:t xml:space="preserve">. Il coordonne également l’élaboration, le suivi et l’évaluation du plan d’action pluriannuel Intégrité de la Police fédérale. </w:t>
          </w:r>
          <w:r w:rsidR="002D5FFA" w:rsidRPr="00406EBF">
            <w:rPr>
              <w:rFonts w:cstheme="minorHAnsi"/>
              <w:noProof/>
              <w:sz w:val="23"/>
              <w:szCs w:val="23"/>
            </w:rPr>
            <w:t>I</w:t>
          </w:r>
          <w:r w:rsidR="00DB5528" w:rsidRPr="00406EBF">
            <w:rPr>
              <w:rFonts w:cstheme="minorHAnsi"/>
              <w:noProof/>
              <w:sz w:val="23"/>
              <w:szCs w:val="23"/>
            </w:rPr>
            <w:t>l contribue activement à la détermination des objectifs et priorités stratégiques dans le domaine de l’intégrité.</w:t>
          </w:r>
          <w:r w:rsidR="001F2B6A" w:rsidRPr="00406EBF">
            <w:rPr>
              <w:rFonts w:cstheme="minorHAnsi"/>
              <w:noProof/>
              <w:sz w:val="23"/>
              <w:szCs w:val="23"/>
            </w:rPr>
            <w:t xml:space="preserve"> </w:t>
          </w:r>
          <w:r w:rsidR="002D5FFA" w:rsidRPr="00406EBF">
            <w:rPr>
              <w:rFonts w:cstheme="minorHAnsi"/>
              <w:noProof/>
              <w:sz w:val="23"/>
              <w:szCs w:val="23"/>
            </w:rPr>
            <w:t xml:space="preserve">Il fournit des avis et expertises en matière d’intégrité à la demande des </w:t>
          </w:r>
          <w:r w:rsidR="002D5FFA" w:rsidRPr="00406EBF">
            <w:rPr>
              <w:rFonts w:cstheme="minorHAnsi"/>
              <w:sz w:val="23"/>
              <w:szCs w:val="23"/>
            </w:rPr>
            <w:t xml:space="preserve">mandataires et chefs de services de grandes entités. Enfin, il est </w:t>
          </w:r>
          <w:r w:rsidR="00D50B00" w:rsidRPr="00406EBF">
            <w:rPr>
              <w:rFonts w:cstheme="minorHAnsi"/>
              <w:sz w:val="23"/>
              <w:szCs w:val="23"/>
            </w:rPr>
            <w:t xml:space="preserve">prévu qu’il serve de </w:t>
          </w:r>
          <w:r w:rsidR="0008108E">
            <w:rPr>
              <w:rFonts w:cstheme="minorHAnsi"/>
              <w:sz w:val="23"/>
              <w:szCs w:val="23"/>
            </w:rPr>
            <w:t>« </w:t>
          </w:r>
          <w:r w:rsidR="0008108E" w:rsidRPr="003B322B">
            <w:rPr>
              <w:rFonts w:cstheme="minorHAnsi"/>
              <w:i/>
              <w:sz w:val="23"/>
              <w:szCs w:val="23"/>
            </w:rPr>
            <w:t>Single Point of Contact</w:t>
          </w:r>
          <w:r w:rsidR="0008108E">
            <w:rPr>
              <w:rFonts w:cstheme="minorHAnsi"/>
              <w:sz w:val="23"/>
              <w:szCs w:val="23"/>
            </w:rPr>
            <w:t> » (SPOC, point de contact unique) pour toute question relative à la déontologie et à l’éthique policières, voire de l’ensemble des plaintes réceptionnées par la police fédérale</w:t>
          </w:r>
          <w:r w:rsidR="00D50B00" w:rsidRPr="00406EBF">
            <w:rPr>
              <w:rFonts w:cstheme="minorHAnsi"/>
              <w:sz w:val="23"/>
              <w:szCs w:val="23"/>
            </w:rPr>
            <w:t xml:space="preserve">. </w:t>
          </w:r>
          <w:r w:rsidR="004D7FB5">
            <w:rPr>
              <w:rFonts w:cstheme="minorHAnsi"/>
              <w:sz w:val="23"/>
              <w:szCs w:val="23"/>
            </w:rPr>
            <w:t xml:space="preserve">L’ensemble des plaintes visant la police est actuelement traité par le service TIWK. </w:t>
          </w:r>
        </w:p>
        <w:p w14:paraId="063DA596" w14:textId="77777777" w:rsidR="002D5FFA" w:rsidRPr="00406EBF" w:rsidRDefault="002D5FFA" w:rsidP="002D5FFA">
          <w:pPr>
            <w:tabs>
              <w:tab w:val="left" w:pos="709"/>
            </w:tabs>
            <w:spacing w:line="240" w:lineRule="auto"/>
            <w:jc w:val="both"/>
            <w:rPr>
              <w:rFonts w:cstheme="minorHAnsi"/>
              <w:sz w:val="23"/>
              <w:szCs w:val="23"/>
            </w:rPr>
          </w:pPr>
        </w:p>
        <w:p w14:paraId="06063094" w14:textId="2F67D9DD" w:rsidR="002D5FFA" w:rsidRPr="00406EBF" w:rsidRDefault="002D5FFA" w:rsidP="007F4B04">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Service CG/Intégrité est visiblement conçu pour être un élément central de la politique d’intégrité de la police fédérale, mais le manque de moyens humains ne lui permet pas </w:t>
          </w:r>
          <w:r w:rsidR="00392FCF" w:rsidRPr="00406EBF">
            <w:rPr>
              <w:rFonts w:cstheme="minorHAnsi"/>
              <w:sz w:val="23"/>
              <w:szCs w:val="23"/>
            </w:rPr>
            <w:lastRenderedPageBreak/>
            <w:t xml:space="preserve">actuellement </w:t>
          </w:r>
          <w:r w:rsidRPr="00406EBF">
            <w:rPr>
              <w:rFonts w:cstheme="minorHAnsi"/>
              <w:sz w:val="23"/>
              <w:szCs w:val="23"/>
            </w:rPr>
            <w:t>de remplir l</w:t>
          </w:r>
          <w:r w:rsidR="00392FCF" w:rsidRPr="00406EBF">
            <w:rPr>
              <w:rFonts w:cstheme="minorHAnsi"/>
              <w:sz w:val="23"/>
              <w:szCs w:val="23"/>
            </w:rPr>
            <w:t>’ensemble d</w:t>
          </w:r>
          <w:r w:rsidRPr="00406EBF">
            <w:rPr>
              <w:rFonts w:cstheme="minorHAnsi"/>
              <w:sz w:val="23"/>
              <w:szCs w:val="23"/>
            </w:rPr>
            <w:t xml:space="preserve">es missions qui lui sont confiées. </w:t>
          </w:r>
          <w:r w:rsidR="00392FCF" w:rsidRPr="00406EBF">
            <w:rPr>
              <w:rFonts w:cstheme="minorHAnsi"/>
              <w:sz w:val="23"/>
              <w:szCs w:val="23"/>
            </w:rPr>
            <w:t>Compte tenu des tâches de ce service telles que détaillées ci-dessus, il est impossible qu’elles soient exercées par une seule personne. L’Inspection générale de la police estime elle aussi que le renforcement du service est nécessaire. Un renforcement à hauteur de l’effectif théoriquement prévu de quatre personnes</w:t>
          </w:r>
          <w:r w:rsidR="009A35D7" w:rsidRPr="00406EBF">
            <w:rPr>
              <w:rFonts w:cstheme="minorHAnsi"/>
              <w:sz w:val="23"/>
              <w:szCs w:val="23"/>
            </w:rPr>
            <w:t xml:space="preserve"> paraît souhaitable et permettrait au moins d’assurer une représentation équilibrée des communautés linguistiques au sein de ce service. </w:t>
          </w:r>
          <w:r w:rsidR="0008108E">
            <w:rPr>
              <w:rFonts w:cstheme="minorHAnsi"/>
              <w:sz w:val="23"/>
              <w:szCs w:val="23"/>
            </w:rPr>
            <w:t>En servant de seul et même point de contact au sein de la police fédérale, i</w:t>
          </w:r>
          <w:r w:rsidR="009A35D7" w:rsidRPr="00406EBF">
            <w:rPr>
              <w:rFonts w:cstheme="minorHAnsi"/>
              <w:sz w:val="23"/>
              <w:szCs w:val="23"/>
            </w:rPr>
            <w:t>l permettrait aussi d’assurer la coordination avec l’</w:t>
          </w:r>
          <w:r w:rsidR="006A5FAB" w:rsidRPr="00406EBF">
            <w:rPr>
              <w:rFonts w:cstheme="minorHAnsi"/>
              <w:sz w:val="23"/>
              <w:szCs w:val="23"/>
            </w:rPr>
            <w:t>Inspection générale de la police et avec le Comité permanent de contrôle des services de police (Comité P) en matière d’atteintes à l’intégrité, ce qui ne semble pas être le cas à l’heure actuelle.</w:t>
          </w:r>
          <w:r w:rsidR="009A1167">
            <w:rPr>
              <w:rFonts w:cstheme="minorHAnsi"/>
              <w:sz w:val="23"/>
              <w:szCs w:val="23"/>
            </w:rPr>
            <w:t xml:space="preserve"> </w:t>
          </w:r>
          <w:r w:rsidR="009A1167" w:rsidRPr="00406EBF">
            <w:rPr>
              <w:rFonts w:cstheme="minorHAnsi"/>
              <w:sz w:val="23"/>
              <w:szCs w:val="23"/>
            </w:rPr>
            <w:t xml:space="preserve">Par conséquent, </w:t>
          </w:r>
          <w:r w:rsidR="009A1167" w:rsidRPr="00406EBF">
            <w:rPr>
              <w:rFonts w:cstheme="minorHAnsi"/>
              <w:b/>
              <w:sz w:val="23"/>
              <w:szCs w:val="23"/>
            </w:rPr>
            <w:t xml:space="preserve">le GRECO recommande </w:t>
          </w:r>
          <w:bookmarkStart w:id="108" w:name="_Hlk26528760"/>
          <w:r w:rsidR="009A1167" w:rsidRPr="00406EBF">
            <w:rPr>
              <w:rFonts w:cstheme="minorHAnsi"/>
              <w:b/>
              <w:sz w:val="23"/>
              <w:szCs w:val="23"/>
            </w:rPr>
            <w:t>que les ressources humaines effectives du Service C</w:t>
          </w:r>
          <w:r w:rsidR="004D7FB5">
            <w:rPr>
              <w:rFonts w:cstheme="minorHAnsi"/>
              <w:b/>
              <w:sz w:val="23"/>
              <w:szCs w:val="23"/>
            </w:rPr>
            <w:t xml:space="preserve">ommissariat </w:t>
          </w:r>
          <w:r w:rsidR="009A1167" w:rsidRPr="00406EBF">
            <w:rPr>
              <w:rFonts w:cstheme="minorHAnsi"/>
              <w:b/>
              <w:sz w:val="23"/>
              <w:szCs w:val="23"/>
            </w:rPr>
            <w:t>G</w:t>
          </w:r>
          <w:r w:rsidR="004D7FB5">
            <w:rPr>
              <w:rFonts w:cstheme="minorHAnsi"/>
              <w:b/>
              <w:sz w:val="23"/>
              <w:szCs w:val="23"/>
            </w:rPr>
            <w:t>énéral</w:t>
          </w:r>
          <w:r w:rsidR="009A1167" w:rsidRPr="00406EBF">
            <w:rPr>
              <w:rFonts w:cstheme="minorHAnsi"/>
              <w:b/>
              <w:sz w:val="23"/>
              <w:szCs w:val="23"/>
            </w:rPr>
            <w:t>/intégrité soient renforcées</w:t>
          </w:r>
          <w:bookmarkEnd w:id="108"/>
          <w:r w:rsidR="009A1167" w:rsidRPr="00406EBF">
            <w:rPr>
              <w:rFonts w:cstheme="minorHAnsi"/>
              <w:b/>
              <w:sz w:val="23"/>
              <w:szCs w:val="23"/>
            </w:rPr>
            <w:t>.</w:t>
          </w:r>
        </w:p>
        <w:p w14:paraId="36826360" w14:textId="77777777" w:rsidR="00D50B00" w:rsidRPr="00406EBF" w:rsidRDefault="00D50B00" w:rsidP="00D50B00">
          <w:pPr>
            <w:tabs>
              <w:tab w:val="left" w:pos="709"/>
            </w:tabs>
            <w:spacing w:line="240" w:lineRule="auto"/>
            <w:jc w:val="both"/>
            <w:rPr>
              <w:rFonts w:cstheme="minorHAnsi"/>
              <w:sz w:val="23"/>
              <w:szCs w:val="23"/>
            </w:rPr>
          </w:pPr>
        </w:p>
        <w:p w14:paraId="432B29E6" w14:textId="77777777" w:rsidR="00F04834" w:rsidRPr="00406EBF" w:rsidRDefault="00F04834"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109" w:name="_Toc2777414"/>
          <w:bookmarkStart w:id="110" w:name="_Toc21339587"/>
          <w:r w:rsidRPr="00406EBF">
            <w:rPr>
              <w:rFonts w:asciiTheme="minorHAnsi" w:hAnsiTheme="minorHAnsi" w:cstheme="minorHAnsi"/>
              <w:b w:val="0"/>
              <w:i/>
              <w:color w:val="auto"/>
              <w:sz w:val="23"/>
              <w:szCs w:val="23"/>
            </w:rPr>
            <w:t>Politiq</w:t>
          </w:r>
          <w:r w:rsidR="00830965" w:rsidRPr="00406EBF">
            <w:rPr>
              <w:rFonts w:asciiTheme="minorHAnsi" w:hAnsiTheme="minorHAnsi" w:cstheme="minorHAnsi"/>
              <w:b w:val="0"/>
              <w:i/>
              <w:color w:val="auto"/>
              <w:sz w:val="23"/>
              <w:szCs w:val="23"/>
            </w:rPr>
            <w:t>ue anticorruption et d'intégri</w:t>
          </w:r>
          <w:bookmarkEnd w:id="109"/>
          <w:r w:rsidR="00830965" w:rsidRPr="00406EBF">
            <w:rPr>
              <w:rFonts w:asciiTheme="minorHAnsi" w:hAnsiTheme="minorHAnsi" w:cstheme="minorHAnsi"/>
              <w:b w:val="0"/>
              <w:i/>
              <w:color w:val="auto"/>
              <w:sz w:val="23"/>
              <w:szCs w:val="23"/>
            </w:rPr>
            <w:t>té</w:t>
          </w:r>
          <w:bookmarkEnd w:id="110"/>
        </w:p>
        <w:p w14:paraId="69F33617" w14:textId="77777777" w:rsidR="007C316A" w:rsidRPr="00406EBF" w:rsidRDefault="007C316A" w:rsidP="001878CC">
          <w:pPr>
            <w:spacing w:line="240" w:lineRule="auto"/>
            <w:jc w:val="both"/>
            <w:rPr>
              <w:rFonts w:cstheme="minorHAnsi"/>
              <w:sz w:val="23"/>
              <w:szCs w:val="23"/>
            </w:rPr>
          </w:pPr>
        </w:p>
        <w:p w14:paraId="326F12E2" w14:textId="77777777" w:rsidR="007C316A" w:rsidRPr="00406EBF" w:rsidRDefault="00863172" w:rsidP="00771C9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L’intégrité fait partie des valeurs de la police fédérale, comme précisé dans la lettre de mission 2012-2016 de la Commissaire générale. Une </w:t>
          </w:r>
          <w:r w:rsidRPr="00406EBF">
            <w:rPr>
              <w:rFonts w:cstheme="minorHAnsi"/>
              <w:sz w:val="23"/>
              <w:szCs w:val="23"/>
              <w:u w:val="single"/>
            </w:rPr>
            <w:t>Déclaration de politique relative à l’intégrité 2012-</w:t>
          </w:r>
          <w:r w:rsidR="009A1167" w:rsidRPr="00406EBF">
            <w:rPr>
              <w:rFonts w:cstheme="minorHAnsi"/>
              <w:sz w:val="23"/>
              <w:szCs w:val="23"/>
              <w:u w:val="single"/>
            </w:rPr>
            <w:t>2016</w:t>
          </w:r>
          <w:r w:rsidR="009A1167" w:rsidRPr="00406EBF">
            <w:rPr>
              <w:rFonts w:cstheme="minorHAnsi"/>
              <w:sz w:val="23"/>
              <w:szCs w:val="23"/>
            </w:rPr>
            <w:t xml:space="preserve"> a</w:t>
          </w:r>
          <w:r w:rsidRPr="00406EBF">
            <w:rPr>
              <w:rFonts w:cstheme="minorHAnsi"/>
              <w:sz w:val="23"/>
              <w:szCs w:val="23"/>
            </w:rPr>
            <w:t xml:space="preserve"> été </w:t>
          </w:r>
          <w:r w:rsidR="005C7EB2" w:rsidRPr="00406EBF">
            <w:rPr>
              <w:rFonts w:cstheme="minorHAnsi"/>
              <w:sz w:val="23"/>
              <w:szCs w:val="23"/>
            </w:rPr>
            <w:t xml:space="preserve">préparée par la Commissaire générale et les directeurs généraux et validée par le Comité de direction le 31 mars 2014. Cette déclaration définit les thèmes prioritaires de la politique d’intégrité de la police fédérale, les leviers de cette politique, ainsi que </w:t>
          </w:r>
          <w:r w:rsidR="009A1167">
            <w:rPr>
              <w:rFonts w:cstheme="minorHAnsi"/>
              <w:sz w:val="23"/>
              <w:szCs w:val="23"/>
            </w:rPr>
            <w:t>s</w:t>
          </w:r>
          <w:r w:rsidR="005C7EB2" w:rsidRPr="00406EBF">
            <w:rPr>
              <w:rFonts w:cstheme="minorHAnsi"/>
              <w:sz w:val="23"/>
              <w:szCs w:val="23"/>
            </w:rPr>
            <w:t xml:space="preserve">a mise en œuvre et </w:t>
          </w:r>
          <w:r w:rsidR="009A1167">
            <w:rPr>
              <w:rFonts w:cstheme="minorHAnsi"/>
              <w:sz w:val="23"/>
              <w:szCs w:val="23"/>
            </w:rPr>
            <w:t>son</w:t>
          </w:r>
          <w:r w:rsidR="005C7EB2" w:rsidRPr="00406EBF">
            <w:rPr>
              <w:rFonts w:cstheme="minorHAnsi"/>
              <w:sz w:val="23"/>
              <w:szCs w:val="23"/>
            </w:rPr>
            <w:t xml:space="preserve"> monitoring.</w:t>
          </w:r>
          <w:r w:rsidR="00771C9D" w:rsidRPr="00406EBF">
            <w:rPr>
              <w:rFonts w:cstheme="minorHAnsi"/>
              <w:sz w:val="23"/>
              <w:szCs w:val="23"/>
            </w:rPr>
            <w:t xml:space="preserve"> </w:t>
          </w:r>
          <w:r w:rsidR="005C7EB2" w:rsidRPr="00406EBF">
            <w:rPr>
              <w:rFonts w:cstheme="minorHAnsi"/>
              <w:sz w:val="23"/>
              <w:szCs w:val="23"/>
            </w:rPr>
            <w:t xml:space="preserve">Cette politique se traduit par un plan d’action, suivi à l’aide d’indicateurs. Une évaluation intermédiaire et une évaluation finale sont prévues. </w:t>
          </w:r>
          <w:r w:rsidR="00DC5405" w:rsidRPr="00406EBF">
            <w:rPr>
              <w:rFonts w:cstheme="minorHAnsi"/>
              <w:sz w:val="23"/>
              <w:szCs w:val="23"/>
            </w:rPr>
            <w:t>La pol</w:t>
          </w:r>
          <w:r w:rsidR="00384D3B" w:rsidRPr="00406EBF">
            <w:rPr>
              <w:rFonts w:cstheme="minorHAnsi"/>
              <w:sz w:val="23"/>
              <w:szCs w:val="23"/>
            </w:rPr>
            <w:t>i</w:t>
          </w:r>
          <w:r w:rsidR="00DC5405" w:rsidRPr="00406EBF">
            <w:rPr>
              <w:rFonts w:cstheme="minorHAnsi"/>
              <w:sz w:val="23"/>
              <w:szCs w:val="23"/>
            </w:rPr>
            <w:t xml:space="preserve">tique comprend à la fois un volet de contrôle et un volet incitatif et vise à donner priorité à ce dernier. Parmi les actions prévues, un inventaire des directives existantes couplé à un screening selon la perspective intégrité et diversité, un complément explicatif au code de déontologie, une analyse des critères guidant l’autorisation d’activités secondaires, des actions en matière de formation, un recensement des fonctions, processus et comportements à risques etc. </w:t>
          </w:r>
          <w:r w:rsidR="00771C9D" w:rsidRPr="00406EBF">
            <w:rPr>
              <w:rFonts w:cstheme="minorHAnsi"/>
              <w:sz w:val="23"/>
              <w:szCs w:val="23"/>
            </w:rPr>
            <w:t>Une nouvelle politique d’intégrité est en cours d’élaboration par le service CG/Intégrité. Sa présentation est prévue pour fin 2019.</w:t>
          </w:r>
        </w:p>
        <w:p w14:paraId="6A342B9C" w14:textId="77777777" w:rsidR="00771C9D" w:rsidRPr="00406EBF" w:rsidRDefault="00771C9D" w:rsidP="00771C9D">
          <w:pPr>
            <w:tabs>
              <w:tab w:val="left" w:pos="709"/>
            </w:tabs>
            <w:spacing w:line="240" w:lineRule="auto"/>
            <w:jc w:val="both"/>
            <w:rPr>
              <w:rFonts w:cstheme="minorHAnsi"/>
              <w:sz w:val="23"/>
              <w:szCs w:val="23"/>
            </w:rPr>
          </w:pPr>
        </w:p>
        <w:p w14:paraId="6E79F2C2" w14:textId="2B27D0C7" w:rsidR="00722E5E" w:rsidRPr="00406EBF" w:rsidRDefault="00771C9D" w:rsidP="007F4B04">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L’EEG note qu</w:t>
          </w:r>
          <w:r w:rsidR="006D366F" w:rsidRPr="00406EBF">
            <w:rPr>
              <w:rFonts w:cstheme="minorHAnsi"/>
              <w:sz w:val="23"/>
              <w:szCs w:val="23"/>
            </w:rPr>
            <w:t xml:space="preserve">’un travail important et de qualité a été réalisé par la police fédérale concernant l’analyse de l’intégrité et de la corruption en son sein. Ce travail est à saluer et se traduit par de nombreuses mesures détaillées dans la déclaration de </w:t>
          </w:r>
          <w:r w:rsidRPr="00406EBF">
            <w:rPr>
              <w:rFonts w:cstheme="minorHAnsi"/>
              <w:sz w:val="23"/>
              <w:szCs w:val="23"/>
            </w:rPr>
            <w:t xml:space="preserve">politique d’intégrité 2012-2016. </w:t>
          </w:r>
          <w:r w:rsidR="00795B09" w:rsidRPr="00406EBF">
            <w:rPr>
              <w:rFonts w:cstheme="minorHAnsi"/>
              <w:sz w:val="23"/>
              <w:szCs w:val="23"/>
            </w:rPr>
            <w:t>I</w:t>
          </w:r>
          <w:r w:rsidR="006D366F" w:rsidRPr="00406EBF">
            <w:rPr>
              <w:rFonts w:cstheme="minorHAnsi"/>
              <w:sz w:val="23"/>
              <w:szCs w:val="23"/>
            </w:rPr>
            <w:t xml:space="preserve">l semble que toutes ces mesures </w:t>
          </w:r>
          <w:r w:rsidR="00795B09" w:rsidRPr="00406EBF">
            <w:rPr>
              <w:rFonts w:cstheme="minorHAnsi"/>
              <w:sz w:val="23"/>
              <w:szCs w:val="23"/>
            </w:rPr>
            <w:t>n’</w:t>
          </w:r>
          <w:r w:rsidR="006D366F" w:rsidRPr="00406EBF">
            <w:rPr>
              <w:rFonts w:cstheme="minorHAnsi"/>
              <w:sz w:val="23"/>
              <w:szCs w:val="23"/>
            </w:rPr>
            <w:t xml:space="preserve">aient </w:t>
          </w:r>
          <w:r w:rsidR="00795B09" w:rsidRPr="00406EBF">
            <w:rPr>
              <w:rFonts w:cstheme="minorHAnsi"/>
              <w:sz w:val="23"/>
              <w:szCs w:val="23"/>
            </w:rPr>
            <w:t xml:space="preserve">pas </w:t>
          </w:r>
          <w:r w:rsidR="006D366F" w:rsidRPr="00406EBF">
            <w:rPr>
              <w:rFonts w:cstheme="minorHAnsi"/>
              <w:sz w:val="23"/>
              <w:szCs w:val="23"/>
            </w:rPr>
            <w:t xml:space="preserve">été effectivement mises en œuvre, ni d’ailleurs que les évaluations intermédiaires et finales prévues dans la déclaration aient été effectuées. </w:t>
          </w:r>
          <w:r w:rsidR="00795B09" w:rsidRPr="00406EBF">
            <w:rPr>
              <w:rFonts w:cstheme="minorHAnsi"/>
              <w:sz w:val="23"/>
              <w:szCs w:val="23"/>
            </w:rPr>
            <w:t xml:space="preserve">Ceci est dommage, compte tenu du volume et de la qualité du travail réalisé en amont. </w:t>
          </w:r>
          <w:r w:rsidR="006D366F" w:rsidRPr="00406EBF">
            <w:rPr>
              <w:rFonts w:cstheme="minorHAnsi"/>
              <w:sz w:val="23"/>
              <w:szCs w:val="23"/>
            </w:rPr>
            <w:t xml:space="preserve">Force est de constater, en outre, qu’une nouvelle politique d’intégrité n’a à ce jour toujours pas été élaborée. </w:t>
          </w:r>
          <w:r w:rsidR="00722E5E" w:rsidRPr="00406EBF">
            <w:rPr>
              <w:rFonts w:cstheme="minorHAnsi"/>
              <w:sz w:val="23"/>
              <w:szCs w:val="23"/>
            </w:rPr>
            <w:t xml:space="preserve">Cette tâche incombe au service CG/Intégrité dont l’EEG a déploré ci-dessus le sous-effectif. Elle renvoie à ses considérations et à la recommandation figurant au </w:t>
          </w:r>
          <w:r w:rsidR="00722E5E" w:rsidRPr="004409F8">
            <w:rPr>
              <w:rFonts w:cstheme="minorHAnsi"/>
              <w:sz w:val="23"/>
              <w:szCs w:val="23"/>
            </w:rPr>
            <w:t xml:space="preserve">paragraphe </w:t>
          </w:r>
          <w:r w:rsidR="009A1167" w:rsidRPr="004409F8">
            <w:rPr>
              <w:rFonts w:cstheme="minorHAnsi"/>
              <w:sz w:val="23"/>
              <w:szCs w:val="23"/>
            </w:rPr>
            <w:t>15</w:t>
          </w:r>
          <w:r w:rsidR="0019274D" w:rsidRPr="004409F8">
            <w:rPr>
              <w:rFonts w:cstheme="minorHAnsi"/>
              <w:sz w:val="23"/>
              <w:szCs w:val="23"/>
            </w:rPr>
            <w:t>2</w:t>
          </w:r>
          <w:r w:rsidR="009A1167" w:rsidRPr="004409F8">
            <w:rPr>
              <w:rFonts w:cstheme="minorHAnsi"/>
              <w:sz w:val="23"/>
              <w:szCs w:val="23"/>
            </w:rPr>
            <w:t>.</w:t>
          </w:r>
        </w:p>
        <w:p w14:paraId="5762FCAE" w14:textId="77777777" w:rsidR="00722E5E" w:rsidRPr="00406EBF" w:rsidRDefault="00722E5E" w:rsidP="00722E5E">
          <w:pPr>
            <w:pStyle w:val="Paragraphedeliste"/>
            <w:rPr>
              <w:rFonts w:cstheme="minorHAnsi"/>
              <w:sz w:val="23"/>
              <w:szCs w:val="23"/>
            </w:rPr>
          </w:pPr>
        </w:p>
        <w:p w14:paraId="0B8470F6" w14:textId="77777777" w:rsidR="00830965" w:rsidRPr="00406EBF" w:rsidRDefault="00830965" w:rsidP="001878CC">
          <w:pPr>
            <w:tabs>
              <w:tab w:val="left" w:pos="709"/>
            </w:tabs>
            <w:spacing w:line="240" w:lineRule="auto"/>
            <w:jc w:val="both"/>
            <w:rPr>
              <w:rFonts w:eastAsiaTheme="majorEastAsia" w:cstheme="minorHAnsi"/>
              <w:bCs/>
              <w:i/>
              <w:sz w:val="23"/>
              <w:szCs w:val="23"/>
            </w:rPr>
          </w:pPr>
          <w:r w:rsidRPr="00406EBF">
            <w:rPr>
              <w:rFonts w:eastAsiaTheme="majorEastAsia" w:cstheme="minorHAnsi"/>
              <w:bCs/>
              <w:i/>
              <w:sz w:val="23"/>
              <w:szCs w:val="23"/>
            </w:rPr>
            <w:t>Mesures de gestion des risques de corruption dans les services exposés</w:t>
          </w:r>
        </w:p>
        <w:p w14:paraId="72EE475C" w14:textId="77777777" w:rsidR="008627DD" w:rsidRPr="00406EBF" w:rsidRDefault="008627DD" w:rsidP="001878CC">
          <w:pPr>
            <w:tabs>
              <w:tab w:val="left" w:pos="709"/>
            </w:tabs>
            <w:spacing w:line="240" w:lineRule="auto"/>
            <w:jc w:val="both"/>
            <w:rPr>
              <w:rFonts w:cstheme="minorHAnsi"/>
              <w:sz w:val="23"/>
              <w:szCs w:val="23"/>
            </w:rPr>
          </w:pPr>
        </w:p>
        <w:p w14:paraId="3A3484E4" w14:textId="77777777" w:rsidR="00915308" w:rsidRPr="00406EBF" w:rsidRDefault="00915308" w:rsidP="00915308">
          <w:pPr>
            <w:numPr>
              <w:ilvl w:val="0"/>
              <w:numId w:val="1"/>
            </w:numPr>
            <w:tabs>
              <w:tab w:val="left" w:pos="709"/>
            </w:tabs>
            <w:spacing w:line="240" w:lineRule="auto"/>
            <w:ind w:left="0" w:firstLine="0"/>
            <w:jc w:val="both"/>
            <w:rPr>
              <w:rFonts w:cstheme="minorHAnsi"/>
              <w:sz w:val="23"/>
              <w:szCs w:val="23"/>
            </w:rPr>
          </w:pPr>
          <w:bookmarkStart w:id="111" w:name="_Toc2777415"/>
          <w:r w:rsidRPr="00406EBF">
            <w:rPr>
              <w:rFonts w:cstheme="minorHAnsi"/>
              <w:sz w:val="23"/>
              <w:szCs w:val="23"/>
            </w:rPr>
            <w:t xml:space="preserve">Le </w:t>
          </w:r>
          <w:r w:rsidR="00C2522D" w:rsidRPr="00406EBF">
            <w:rPr>
              <w:rFonts w:cstheme="minorHAnsi"/>
              <w:sz w:val="23"/>
              <w:szCs w:val="23"/>
            </w:rPr>
            <w:t xml:space="preserve">Service CG/Intégrité </w:t>
          </w:r>
          <w:r w:rsidRPr="00406EBF">
            <w:rPr>
              <w:rFonts w:cstheme="minorHAnsi"/>
              <w:sz w:val="23"/>
              <w:szCs w:val="23"/>
            </w:rPr>
            <w:t>a lancé un inventaire de risques en matière d’intégrité fin mars 2010 dans les différentes directions générales de la police fédérale. L’objectif était de disposer d’une vue des domaines à risque, des risques inhérents à l’intégrité et des mesures prises ou pouvant être prises pour y remédier. L’inventaire des risques s’est basé sur une définition large de la notion d’intégrité, en y intégrant même des violations pouvant sembler minimes.</w:t>
          </w:r>
        </w:p>
        <w:p w14:paraId="0BDAEB09" w14:textId="77777777" w:rsidR="00915308" w:rsidRPr="00406EBF" w:rsidRDefault="00915308" w:rsidP="00915308">
          <w:pPr>
            <w:tabs>
              <w:tab w:val="left" w:pos="709"/>
            </w:tabs>
            <w:spacing w:line="240" w:lineRule="auto"/>
            <w:jc w:val="both"/>
            <w:rPr>
              <w:rFonts w:cstheme="minorHAnsi"/>
              <w:sz w:val="23"/>
              <w:szCs w:val="23"/>
            </w:rPr>
          </w:pPr>
          <w:r w:rsidRPr="00406EBF">
            <w:rPr>
              <w:rFonts w:cstheme="minorHAnsi"/>
              <w:sz w:val="23"/>
              <w:szCs w:val="23"/>
            </w:rPr>
            <w:t xml:space="preserve"> </w:t>
          </w:r>
        </w:p>
        <w:p w14:paraId="68776154" w14:textId="77777777" w:rsidR="00915308" w:rsidRPr="00406EBF" w:rsidRDefault="00915308" w:rsidP="00915308">
          <w:pPr>
            <w:numPr>
              <w:ilvl w:val="0"/>
              <w:numId w:val="1"/>
            </w:numPr>
            <w:tabs>
              <w:tab w:val="left" w:pos="709"/>
            </w:tabs>
            <w:spacing w:line="240" w:lineRule="auto"/>
            <w:ind w:left="0" w:firstLine="0"/>
            <w:jc w:val="both"/>
            <w:rPr>
              <w:rFonts w:cstheme="minorHAnsi"/>
              <w:b/>
              <w:sz w:val="23"/>
              <w:szCs w:val="23"/>
            </w:rPr>
          </w:pPr>
          <w:r w:rsidRPr="00406EBF">
            <w:rPr>
              <w:rFonts w:cstheme="minorHAnsi"/>
              <w:sz w:val="23"/>
              <w:szCs w:val="23"/>
            </w:rPr>
            <w:t>L’inventaire a donné lieu à un tableau de synthèse des risques globaux pour la police fédérale et à des fiches thématiques par domaine/thème à risque à destination des responsables</w:t>
          </w:r>
          <w:r w:rsidR="00517B98" w:rsidRPr="00406EBF">
            <w:rPr>
              <w:rFonts w:cstheme="minorHAnsi"/>
              <w:sz w:val="23"/>
              <w:szCs w:val="23"/>
            </w:rPr>
            <w:t xml:space="preserve">, à savoir : la gestion financière, l’exécution de la qualité de service, l’organisation du temps de travail, l’indépendance, l’utilisation du matériel, les devoirs professionnels, les relations internes </w:t>
          </w:r>
          <w:r w:rsidR="00517B98" w:rsidRPr="00406EBF">
            <w:rPr>
              <w:rFonts w:cstheme="minorHAnsi"/>
              <w:sz w:val="23"/>
              <w:szCs w:val="23"/>
            </w:rPr>
            <w:lastRenderedPageBreak/>
            <w:t>et la gestion/consultation/informations d’utilisation des documents.</w:t>
          </w:r>
          <w:r w:rsidRPr="00406EBF">
            <w:rPr>
              <w:rFonts w:cstheme="minorHAnsi"/>
              <w:sz w:val="23"/>
              <w:szCs w:val="23"/>
            </w:rPr>
            <w:t xml:space="preserve"> Ces fiches visaient à l’information et au partage d’expériences</w:t>
          </w:r>
          <w:r w:rsidR="00517B98" w:rsidRPr="00406EBF">
            <w:rPr>
              <w:rFonts w:cstheme="minorHAnsi"/>
              <w:sz w:val="23"/>
              <w:szCs w:val="23"/>
            </w:rPr>
            <w:t>. Pour chaque domaine, des mesures ont été proposées</w:t>
          </w:r>
          <w:r w:rsidR="00FE3DF6">
            <w:rPr>
              <w:rFonts w:cstheme="minorHAnsi"/>
              <w:sz w:val="23"/>
              <w:szCs w:val="23"/>
            </w:rPr>
            <w:t>.</w:t>
          </w:r>
          <w:r w:rsidR="00517B98" w:rsidRPr="00406EBF">
            <w:rPr>
              <w:rFonts w:cstheme="minorHAnsi"/>
              <w:sz w:val="23"/>
              <w:szCs w:val="23"/>
            </w:rPr>
            <w:t xml:space="preserve"> </w:t>
          </w:r>
        </w:p>
        <w:p w14:paraId="46DDC209" w14:textId="77777777" w:rsidR="00517B98" w:rsidRPr="00406EBF" w:rsidRDefault="00517B98" w:rsidP="00517B98">
          <w:pPr>
            <w:pStyle w:val="Paragraphedeliste"/>
            <w:rPr>
              <w:rFonts w:cstheme="minorHAnsi"/>
              <w:sz w:val="23"/>
              <w:szCs w:val="23"/>
            </w:rPr>
          </w:pPr>
        </w:p>
        <w:p w14:paraId="4469AA09" w14:textId="02FF6DA0" w:rsidR="00517B98" w:rsidRPr="00406EBF" w:rsidRDefault="00960FFC" w:rsidP="0091530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Par ailleurs, une enquête relative à « l’Intégrité au travail » a été menée </w:t>
          </w:r>
          <w:r w:rsidR="001F3349" w:rsidRPr="00406EBF">
            <w:rPr>
              <w:rFonts w:cstheme="minorHAnsi"/>
              <w:sz w:val="23"/>
              <w:szCs w:val="23"/>
            </w:rPr>
            <w:t xml:space="preserve">en 2015 au sein des directions générales de la police fédérale </w:t>
          </w:r>
          <w:r w:rsidRPr="00406EBF">
            <w:rPr>
              <w:rFonts w:cstheme="minorHAnsi"/>
              <w:sz w:val="23"/>
              <w:szCs w:val="23"/>
            </w:rPr>
            <w:t>par l’institut de criminologie (LINC) de l’Université Catholique de Louvain</w:t>
          </w:r>
          <w:r w:rsidR="001F3349" w:rsidRPr="00406EBF">
            <w:rPr>
              <w:rFonts w:cstheme="minorHAnsi"/>
              <w:sz w:val="23"/>
              <w:szCs w:val="23"/>
            </w:rPr>
            <w:t xml:space="preserve">. Ses résultats ont été communiqués à chaque direction générale et aux syndicats. </w:t>
          </w:r>
        </w:p>
        <w:p w14:paraId="24AD0226" w14:textId="77777777" w:rsidR="001F3349" w:rsidRPr="00406EBF" w:rsidRDefault="001F3349" w:rsidP="001F3349">
          <w:pPr>
            <w:pStyle w:val="Paragraphedeliste"/>
            <w:rPr>
              <w:rFonts w:cstheme="minorHAnsi"/>
              <w:sz w:val="23"/>
              <w:szCs w:val="23"/>
            </w:rPr>
          </w:pPr>
        </w:p>
        <w:p w14:paraId="1C382E58" w14:textId="77777777" w:rsidR="00F50404" w:rsidRPr="00406EBF" w:rsidRDefault="00F50404" w:rsidP="001878CC">
          <w:pPr>
            <w:pStyle w:val="Titre3"/>
            <w:tabs>
              <w:tab w:val="left" w:pos="709"/>
            </w:tabs>
            <w:spacing w:before="0" w:line="240" w:lineRule="auto"/>
            <w:rPr>
              <w:rFonts w:asciiTheme="minorHAnsi" w:hAnsiTheme="minorHAnsi" w:cstheme="minorHAnsi"/>
              <w:b w:val="0"/>
              <w:i/>
              <w:color w:val="auto"/>
              <w:sz w:val="23"/>
              <w:szCs w:val="23"/>
            </w:rPr>
          </w:pPr>
          <w:bookmarkStart w:id="112" w:name="_Toc21339588"/>
          <w:r w:rsidRPr="00406EBF">
            <w:rPr>
              <w:rFonts w:asciiTheme="minorHAnsi" w:hAnsiTheme="minorHAnsi" w:cstheme="minorHAnsi"/>
              <w:b w:val="0"/>
              <w:i/>
              <w:color w:val="auto"/>
              <w:sz w:val="23"/>
              <w:szCs w:val="23"/>
            </w:rPr>
            <w:t>Gestion des opérations d’infiltration et contacts avec les informateurs et témoins</w:t>
          </w:r>
          <w:bookmarkEnd w:id="111"/>
          <w:bookmarkEnd w:id="112"/>
        </w:p>
        <w:p w14:paraId="3256A4D6" w14:textId="77777777" w:rsidR="007C316A" w:rsidRPr="00406EBF" w:rsidRDefault="007C316A" w:rsidP="001878CC">
          <w:pPr>
            <w:spacing w:line="240" w:lineRule="auto"/>
            <w:jc w:val="both"/>
            <w:rPr>
              <w:rFonts w:cstheme="minorHAnsi"/>
              <w:sz w:val="23"/>
              <w:szCs w:val="23"/>
            </w:rPr>
          </w:pPr>
        </w:p>
        <w:p w14:paraId="40FE686E" w14:textId="77777777" w:rsidR="007C316A" w:rsidRPr="00406EBF" w:rsidRDefault="00A819ED"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opérations d’infiltration et le recours aux indicateurs sont des Méthodes Particulières de Recherche (MPR), régies par des arrêtés royaux, des circulaires confidentielles des Collèges des Procureurs Généraux ainsi que des directives policières. </w:t>
          </w:r>
        </w:p>
        <w:p w14:paraId="7AF910C2" w14:textId="77777777" w:rsidR="00A65D3F" w:rsidRPr="00406EBF" w:rsidRDefault="00A65D3F" w:rsidP="00A65D3F">
          <w:pPr>
            <w:tabs>
              <w:tab w:val="left" w:pos="709"/>
            </w:tabs>
            <w:spacing w:line="240" w:lineRule="auto"/>
            <w:jc w:val="both"/>
            <w:rPr>
              <w:rFonts w:cstheme="minorHAnsi"/>
              <w:sz w:val="23"/>
              <w:szCs w:val="23"/>
            </w:rPr>
          </w:pPr>
        </w:p>
        <w:p w14:paraId="4004E9A6" w14:textId="77777777" w:rsidR="00A65D3F" w:rsidRPr="00406EBF" w:rsidRDefault="00A65D3F"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Un contrôle dans l’exécution de ces méthodes est prévu au niveau policier, au niveau de la magistrature et au niveau politique. Au sein de la police, </w:t>
          </w:r>
          <w:r w:rsidR="001C0239" w:rsidRPr="00406EBF">
            <w:rPr>
              <w:rFonts w:cstheme="minorHAnsi"/>
              <w:sz w:val="23"/>
              <w:szCs w:val="23"/>
            </w:rPr>
            <w:t xml:space="preserve">un contrôle hiérarchique est effectué au sein même de chaque unité employant des MPR, ainsi qu’un contrôle </w:t>
          </w:r>
          <w:r w:rsidRPr="00406EBF">
            <w:rPr>
              <w:rFonts w:cstheme="minorHAnsi"/>
              <w:sz w:val="23"/>
              <w:szCs w:val="23"/>
            </w:rPr>
            <w:t xml:space="preserve">par d’autres unités indépendantes au sein de la structure policière. Au sein de la magistrature, les dossiers </w:t>
          </w:r>
          <w:r w:rsidR="00D22C8E" w:rsidRPr="00406EBF">
            <w:rPr>
              <w:rFonts w:cstheme="minorHAnsi"/>
              <w:sz w:val="23"/>
              <w:szCs w:val="23"/>
            </w:rPr>
            <w:t>MPR font l’objet d’un contrôle au niveau de l’arrondissement par le magistrat MPR, mais aussi par la Chambre des Mises en Accusation et par le Parquet Fédéral. Les procureurs généraux ont également une prérogative de contrôle dans certains cas. Enfin, au niveau politique, chaque année, un rapport reprenant les statistiques des MPR exécutées est transmis au Parlement.</w:t>
          </w:r>
        </w:p>
        <w:p w14:paraId="178452DC" w14:textId="77777777" w:rsidR="00FA5FD3" w:rsidRPr="00406EBF" w:rsidRDefault="00FA5FD3" w:rsidP="00FA5FD3">
          <w:pPr>
            <w:pStyle w:val="Paragraphedeliste"/>
            <w:rPr>
              <w:rFonts w:cstheme="minorHAnsi"/>
              <w:sz w:val="23"/>
              <w:szCs w:val="23"/>
            </w:rPr>
          </w:pPr>
        </w:p>
        <w:p w14:paraId="4A6B7553" w14:textId="2825D06D" w:rsidR="00FA5FD3" w:rsidRPr="00406EBF" w:rsidRDefault="00FA5FD3"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Pour le recours aux indicateurs, une banque de données nationale permet au </w:t>
          </w:r>
          <w:r w:rsidR="0008108E">
            <w:rPr>
              <w:rFonts w:cstheme="minorHAnsi"/>
              <w:sz w:val="23"/>
              <w:szCs w:val="23"/>
            </w:rPr>
            <w:t>gestionnaire national des indicateurs (</w:t>
          </w:r>
          <w:r w:rsidRPr="00406EBF">
            <w:rPr>
              <w:rFonts w:cstheme="minorHAnsi"/>
              <w:sz w:val="23"/>
              <w:szCs w:val="23"/>
            </w:rPr>
            <w:t>GNI</w:t>
          </w:r>
          <w:r w:rsidR="0008108E">
            <w:rPr>
              <w:rFonts w:cstheme="minorHAnsi"/>
              <w:sz w:val="23"/>
              <w:szCs w:val="23"/>
            </w:rPr>
            <w:t>)</w:t>
          </w:r>
          <w:r w:rsidRPr="00406EBF">
            <w:rPr>
              <w:rFonts w:cstheme="minorHAnsi"/>
              <w:sz w:val="23"/>
              <w:szCs w:val="23"/>
            </w:rPr>
            <w:t xml:space="preserve"> d’assurer le contrôle et la co</w:t>
          </w:r>
          <w:r w:rsidR="001C0239" w:rsidRPr="00406EBF">
            <w:rPr>
              <w:rFonts w:cstheme="minorHAnsi"/>
              <w:sz w:val="23"/>
              <w:szCs w:val="23"/>
            </w:rPr>
            <w:t>o</w:t>
          </w:r>
          <w:r w:rsidRPr="00406EBF">
            <w:rPr>
              <w:rFonts w:cstheme="minorHAnsi"/>
              <w:sz w:val="23"/>
              <w:szCs w:val="23"/>
            </w:rPr>
            <w:t xml:space="preserve">rdination de cette matière. Les fonds alloués ou les montants engagés lors des opérations </w:t>
          </w:r>
          <w:r w:rsidR="001C0239" w:rsidRPr="00406EBF">
            <w:rPr>
              <w:rFonts w:cstheme="minorHAnsi"/>
              <w:sz w:val="23"/>
              <w:szCs w:val="23"/>
            </w:rPr>
            <w:t>sous couverture</w:t>
          </w:r>
          <w:r w:rsidRPr="00406EBF">
            <w:rPr>
              <w:rFonts w:cstheme="minorHAnsi"/>
              <w:sz w:val="23"/>
              <w:szCs w:val="23"/>
            </w:rPr>
            <w:t xml:space="preserve"> ou pour les indicateurs font l’objet d’un enregistrement, d’une justification et d’un contrôle au sein de la Police fédérale et par le Parquet Fédéral.</w:t>
          </w:r>
        </w:p>
        <w:p w14:paraId="1780BBDC" w14:textId="77777777" w:rsidR="007C316A" w:rsidRPr="00406EBF" w:rsidRDefault="007C316A" w:rsidP="001878CC">
          <w:pPr>
            <w:spacing w:line="240" w:lineRule="auto"/>
            <w:jc w:val="both"/>
            <w:rPr>
              <w:rFonts w:cstheme="minorHAnsi"/>
              <w:sz w:val="23"/>
              <w:szCs w:val="23"/>
            </w:rPr>
          </w:pPr>
        </w:p>
        <w:p w14:paraId="40B39E12" w14:textId="77777777" w:rsidR="00D22C8E" w:rsidRPr="00406EBF" w:rsidRDefault="00D22C8E" w:rsidP="00D22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membres du personnel impliqués dans des opérations d’infiltration font l’objet d’une sélection rigoureuse et doivent obligatoirement suivre et réussir une formation afin d’opérer en tant qu’agent </w:t>
          </w:r>
          <w:r w:rsidR="001C0239" w:rsidRPr="00406EBF">
            <w:rPr>
              <w:rFonts w:cstheme="minorHAnsi"/>
              <w:sz w:val="23"/>
              <w:szCs w:val="23"/>
            </w:rPr>
            <w:t>sous couverture</w:t>
          </w:r>
          <w:r w:rsidRPr="00406EBF">
            <w:rPr>
              <w:rFonts w:cstheme="minorHAnsi"/>
              <w:sz w:val="23"/>
              <w:szCs w:val="23"/>
            </w:rPr>
            <w:t>, coordinateur ou superviseur. En outre, leur temps au sein d</w:t>
          </w:r>
          <w:r w:rsidR="001C0239" w:rsidRPr="00406EBF">
            <w:rPr>
              <w:rFonts w:cstheme="minorHAnsi"/>
              <w:sz w:val="23"/>
              <w:szCs w:val="23"/>
            </w:rPr>
            <w:t>e l’équipe</w:t>
          </w:r>
          <w:r w:rsidRPr="00406EBF">
            <w:rPr>
              <w:rFonts w:cstheme="minorHAnsi"/>
              <w:sz w:val="23"/>
              <w:szCs w:val="23"/>
            </w:rPr>
            <w:t xml:space="preserve"> est limité à 6 ans. L’encadrement de ces agents est réalisé à plusieurs niveaux (coordinateurs, superviseurs) et un suivi psychologique est également mis en place. </w:t>
          </w:r>
        </w:p>
        <w:p w14:paraId="45C3E664" w14:textId="77777777" w:rsidR="00D22C8E" w:rsidRPr="00406EBF" w:rsidRDefault="00D22C8E" w:rsidP="00D22C8E">
          <w:pPr>
            <w:pStyle w:val="Paragraphedeliste"/>
            <w:rPr>
              <w:rFonts w:cstheme="minorHAnsi"/>
              <w:sz w:val="23"/>
              <w:szCs w:val="23"/>
            </w:rPr>
          </w:pPr>
        </w:p>
        <w:p w14:paraId="076A599B" w14:textId="77777777" w:rsidR="00D22C8E" w:rsidRPr="00406EBF" w:rsidRDefault="00D22C8E" w:rsidP="00D22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Il en est de même pour le recours aux indicateurs. En fonction du niveau des indicateurs gérés, une formation obligatoire doit être suivie et réussie (4 jours ou 3 semaines pour les fonctionnaires de contact gérant des indicateurs de haut niveau). Une évaluation annuelle obligatoire de leur fonctionnement est prévue par un arrêté royal.</w:t>
          </w:r>
        </w:p>
        <w:p w14:paraId="15FC4988" w14:textId="77777777" w:rsidR="00D22C8E" w:rsidRPr="00406EBF" w:rsidRDefault="00D22C8E" w:rsidP="00D22C8E">
          <w:pPr>
            <w:tabs>
              <w:tab w:val="left" w:pos="709"/>
            </w:tabs>
            <w:spacing w:line="240" w:lineRule="auto"/>
            <w:jc w:val="both"/>
            <w:rPr>
              <w:rFonts w:cstheme="minorHAnsi"/>
              <w:sz w:val="23"/>
              <w:szCs w:val="23"/>
            </w:rPr>
          </w:pPr>
        </w:p>
        <w:p w14:paraId="0A9D9F0E" w14:textId="77777777" w:rsidR="007C316A" w:rsidRPr="00406EBF" w:rsidRDefault="00A57B6D"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Chaque contact réalisé dans le cadre des MPR doit faire l’objet d’un rapport écrit. </w:t>
          </w:r>
          <w:r w:rsidR="00FA5FD3" w:rsidRPr="00406EBF">
            <w:rPr>
              <w:rFonts w:cstheme="minorHAnsi"/>
              <w:sz w:val="23"/>
              <w:szCs w:val="23"/>
            </w:rPr>
            <w:t>Les contacts font également l’objet de briefings et débriefings approfondis. Pour le recours aux indicateurs, tous les contacts avec un indicateur doivent avoir lieu en présence de deux fonctionnaires de contact.</w:t>
          </w:r>
        </w:p>
        <w:p w14:paraId="45A3B070" w14:textId="33B48FC1" w:rsidR="003B322B" w:rsidRDefault="003B322B" w:rsidP="001878CC">
          <w:pPr>
            <w:tabs>
              <w:tab w:val="left" w:pos="709"/>
            </w:tabs>
            <w:spacing w:line="240" w:lineRule="auto"/>
            <w:jc w:val="both"/>
            <w:rPr>
              <w:rFonts w:cstheme="minorHAnsi"/>
              <w:sz w:val="23"/>
              <w:szCs w:val="23"/>
            </w:rPr>
          </w:pPr>
        </w:p>
        <w:p w14:paraId="78C6C3C6" w14:textId="77777777" w:rsidR="00F50404" w:rsidRPr="00406EBF" w:rsidRDefault="00F50404" w:rsidP="001878CC">
          <w:pPr>
            <w:pStyle w:val="Titre3"/>
            <w:tabs>
              <w:tab w:val="left" w:pos="709"/>
            </w:tabs>
            <w:spacing w:before="0"/>
            <w:rPr>
              <w:rFonts w:asciiTheme="minorHAnsi" w:hAnsiTheme="minorHAnsi" w:cstheme="minorHAnsi"/>
              <w:b w:val="0"/>
              <w:i/>
              <w:color w:val="auto"/>
              <w:sz w:val="23"/>
              <w:szCs w:val="23"/>
            </w:rPr>
          </w:pPr>
          <w:bookmarkStart w:id="113" w:name="_Toc2777416"/>
          <w:bookmarkStart w:id="114" w:name="_Toc21339589"/>
          <w:r w:rsidRPr="00406EBF">
            <w:rPr>
              <w:rFonts w:asciiTheme="minorHAnsi" w:hAnsiTheme="minorHAnsi" w:cstheme="minorHAnsi"/>
              <w:b w:val="0"/>
              <w:i/>
              <w:color w:val="auto"/>
              <w:sz w:val="23"/>
              <w:szCs w:val="23"/>
            </w:rPr>
            <w:t>Principes éthiques et codes de conduite</w:t>
          </w:r>
          <w:bookmarkEnd w:id="113"/>
          <w:bookmarkEnd w:id="114"/>
          <w:r w:rsidRPr="00406EBF">
            <w:rPr>
              <w:rFonts w:asciiTheme="minorHAnsi" w:hAnsiTheme="minorHAnsi" w:cstheme="minorHAnsi"/>
              <w:b w:val="0"/>
              <w:i/>
              <w:color w:val="auto"/>
              <w:sz w:val="23"/>
              <w:szCs w:val="23"/>
            </w:rPr>
            <w:t xml:space="preserve"> </w:t>
          </w:r>
        </w:p>
        <w:p w14:paraId="7C516B00" w14:textId="77777777" w:rsidR="007C316A" w:rsidRPr="00406EBF" w:rsidRDefault="007C316A" w:rsidP="001878CC">
          <w:pPr>
            <w:spacing w:line="240" w:lineRule="auto"/>
            <w:jc w:val="both"/>
            <w:rPr>
              <w:rFonts w:cstheme="minorHAnsi"/>
              <w:sz w:val="23"/>
              <w:szCs w:val="23"/>
            </w:rPr>
          </w:pPr>
        </w:p>
        <w:p w14:paraId="5A82EABD" w14:textId="77777777" w:rsidR="007C316A" w:rsidRPr="00406EBF" w:rsidRDefault="00D0371D"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Un </w:t>
          </w:r>
          <w:r w:rsidRPr="00406EBF">
            <w:rPr>
              <w:rFonts w:cstheme="minorHAnsi"/>
              <w:sz w:val="23"/>
              <w:szCs w:val="23"/>
              <w:u w:val="single"/>
            </w:rPr>
            <w:t>code de déontologie</w:t>
          </w:r>
          <w:r w:rsidR="00B81352" w:rsidRPr="00406EBF">
            <w:rPr>
              <w:rStyle w:val="Appelnotedebasdep"/>
              <w:rFonts w:cstheme="minorHAnsi"/>
              <w:sz w:val="23"/>
              <w:szCs w:val="23"/>
            </w:rPr>
            <w:footnoteReference w:id="53"/>
          </w:r>
          <w:r w:rsidRPr="00406EBF">
            <w:rPr>
              <w:rFonts w:cstheme="minorHAnsi"/>
              <w:sz w:val="23"/>
              <w:szCs w:val="23"/>
            </w:rPr>
            <w:t xml:space="preserve"> </w:t>
          </w:r>
          <w:r w:rsidR="00805D5E" w:rsidRPr="00406EBF">
            <w:rPr>
              <w:rFonts w:cstheme="minorHAnsi"/>
              <w:sz w:val="23"/>
              <w:szCs w:val="23"/>
            </w:rPr>
            <w:t>a été adopté par arrêté royal du 10 mai 2006</w:t>
          </w:r>
          <w:r w:rsidRPr="00406EBF">
            <w:rPr>
              <w:rFonts w:cstheme="minorHAnsi"/>
              <w:sz w:val="23"/>
              <w:szCs w:val="23"/>
            </w:rPr>
            <w:t>.</w:t>
          </w:r>
          <w:r w:rsidR="0034508A" w:rsidRPr="00406EBF">
            <w:rPr>
              <w:rFonts w:cstheme="minorHAnsi"/>
              <w:sz w:val="23"/>
              <w:szCs w:val="23"/>
            </w:rPr>
            <w:t xml:space="preserve"> Il est le résultat d’un consensus entre les forces de police, le Conseil d’Etat et les</w:t>
          </w:r>
          <w:r w:rsidR="00805D5E" w:rsidRPr="00406EBF">
            <w:rPr>
              <w:rFonts w:cstheme="minorHAnsi"/>
              <w:sz w:val="23"/>
              <w:szCs w:val="23"/>
            </w:rPr>
            <w:t xml:space="preserve"> syndicats</w:t>
          </w:r>
          <w:r w:rsidR="0034508A" w:rsidRPr="00406EBF">
            <w:rPr>
              <w:rFonts w:cstheme="minorHAnsi"/>
              <w:sz w:val="23"/>
              <w:szCs w:val="23"/>
            </w:rPr>
            <w:t xml:space="preserve">. Il tient également compte </w:t>
          </w:r>
          <w:r w:rsidR="0034508A" w:rsidRPr="00406EBF">
            <w:rPr>
              <w:rFonts w:cstheme="minorHAnsi"/>
              <w:sz w:val="23"/>
              <w:szCs w:val="23"/>
            </w:rPr>
            <w:lastRenderedPageBreak/>
            <w:t>des textes internationaux, nationaux, des codes déontologiques généraux et déjà existants de</w:t>
          </w:r>
          <w:r w:rsidR="00FE3DF6">
            <w:rPr>
              <w:rFonts w:cstheme="minorHAnsi"/>
              <w:sz w:val="23"/>
              <w:szCs w:val="23"/>
            </w:rPr>
            <w:t>s services de police d’autres pays</w:t>
          </w:r>
          <w:r w:rsidR="0034508A" w:rsidRPr="00406EBF">
            <w:rPr>
              <w:rFonts w:cstheme="minorHAnsi"/>
              <w:sz w:val="23"/>
              <w:szCs w:val="23"/>
            </w:rPr>
            <w:t>, des résultats du premier cycle d’Evaluation du GRECO sur la Belgique et du Code européen d’éthique de la police.</w:t>
          </w:r>
          <w:r w:rsidR="004854B0" w:rsidRPr="00406EBF">
            <w:rPr>
              <w:rFonts w:cstheme="minorHAnsi"/>
              <w:sz w:val="23"/>
              <w:szCs w:val="23"/>
            </w:rPr>
            <w:t xml:space="preserve"> Il est remis à chaque policier lors de son entretien d’accueil.  Celui-ci doit le lire et le signer.</w:t>
          </w:r>
        </w:p>
        <w:p w14:paraId="6B744BB8" w14:textId="77777777" w:rsidR="007C316A" w:rsidRPr="00406EBF" w:rsidRDefault="007C316A" w:rsidP="001878CC">
          <w:pPr>
            <w:spacing w:line="240" w:lineRule="auto"/>
            <w:jc w:val="both"/>
            <w:rPr>
              <w:rFonts w:cstheme="minorHAnsi"/>
              <w:sz w:val="23"/>
              <w:szCs w:val="23"/>
            </w:rPr>
          </w:pPr>
        </w:p>
        <w:p w14:paraId="6789C3BC" w14:textId="19721749" w:rsidR="007C316A" w:rsidRPr="00406EBF" w:rsidRDefault="0008108E" w:rsidP="001878CC">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Même si l</w:t>
          </w:r>
          <w:r w:rsidR="0034508A" w:rsidRPr="00406EBF">
            <w:rPr>
              <w:rFonts w:cstheme="minorHAnsi"/>
              <w:sz w:val="23"/>
              <w:szCs w:val="23"/>
            </w:rPr>
            <w:t xml:space="preserve">e code de déontologie </w:t>
          </w:r>
          <w:r w:rsidR="00B1493B" w:rsidRPr="00406EBF">
            <w:rPr>
              <w:rFonts w:cstheme="minorHAnsi"/>
              <w:sz w:val="23"/>
              <w:szCs w:val="23"/>
            </w:rPr>
            <w:t xml:space="preserve">n’a pas </w:t>
          </w:r>
          <w:r>
            <w:rPr>
              <w:rFonts w:cstheme="minorHAnsi"/>
              <w:sz w:val="23"/>
              <w:szCs w:val="23"/>
            </w:rPr>
            <w:t xml:space="preserve">vocation à être utilisé comme un simple outil disciplinaire, il va de soi, </w:t>
          </w:r>
          <w:r w:rsidR="00C266FA" w:rsidRPr="00406EBF">
            <w:rPr>
              <w:rFonts w:cstheme="minorHAnsi"/>
              <w:sz w:val="23"/>
              <w:szCs w:val="23"/>
            </w:rPr>
            <w:t>selon les autorités</w:t>
          </w:r>
          <w:r w:rsidR="00B1493B" w:rsidRPr="00406EBF">
            <w:rPr>
              <w:rFonts w:cstheme="minorHAnsi"/>
              <w:sz w:val="23"/>
              <w:szCs w:val="23"/>
            </w:rPr>
            <w:t xml:space="preserve">, </w:t>
          </w:r>
          <w:r>
            <w:rPr>
              <w:rFonts w:cstheme="minorHAnsi"/>
              <w:sz w:val="23"/>
              <w:szCs w:val="23"/>
            </w:rPr>
            <w:t xml:space="preserve">que </w:t>
          </w:r>
          <w:r w:rsidR="00B1493B" w:rsidRPr="00406EBF">
            <w:rPr>
              <w:rFonts w:cstheme="minorHAnsi"/>
              <w:sz w:val="23"/>
              <w:szCs w:val="23"/>
            </w:rPr>
            <w:t xml:space="preserve">des comportements qui sont </w:t>
          </w:r>
          <w:r>
            <w:rPr>
              <w:rFonts w:cstheme="minorHAnsi"/>
              <w:sz w:val="23"/>
              <w:szCs w:val="23"/>
            </w:rPr>
            <w:t xml:space="preserve">manifestement contraires à </w:t>
          </w:r>
          <w:r w:rsidR="00B1493B" w:rsidRPr="00406EBF">
            <w:rPr>
              <w:rFonts w:cstheme="minorHAnsi"/>
              <w:sz w:val="23"/>
              <w:szCs w:val="23"/>
            </w:rPr>
            <w:t xml:space="preserve">certaines </w:t>
          </w:r>
          <w:r w:rsidR="00805D5E" w:rsidRPr="00406EBF">
            <w:rPr>
              <w:rFonts w:cstheme="minorHAnsi"/>
              <w:sz w:val="23"/>
              <w:szCs w:val="23"/>
            </w:rPr>
            <w:t xml:space="preserve">de ses </w:t>
          </w:r>
          <w:r>
            <w:rPr>
              <w:rFonts w:cstheme="minorHAnsi"/>
              <w:sz w:val="23"/>
              <w:szCs w:val="23"/>
            </w:rPr>
            <w:t>prescriptions</w:t>
          </w:r>
          <w:r w:rsidR="00B1493B" w:rsidRPr="00406EBF">
            <w:rPr>
              <w:rFonts w:cstheme="minorHAnsi"/>
              <w:sz w:val="23"/>
              <w:szCs w:val="23"/>
            </w:rPr>
            <w:t xml:space="preserve"> peuvent donner lieu à des sanctions disciplinaires.</w:t>
          </w:r>
        </w:p>
        <w:p w14:paraId="2B26E0BC" w14:textId="77777777" w:rsidR="00C94CB6" w:rsidRPr="00406EBF" w:rsidRDefault="00C94CB6" w:rsidP="00C94CB6">
          <w:pPr>
            <w:pStyle w:val="Paragraphedeliste"/>
            <w:rPr>
              <w:rFonts w:cstheme="minorHAnsi"/>
              <w:sz w:val="23"/>
              <w:szCs w:val="23"/>
            </w:rPr>
          </w:pPr>
        </w:p>
        <w:p w14:paraId="0D88532F" w14:textId="372AC47D" w:rsidR="005C368A" w:rsidRPr="00406EBF" w:rsidRDefault="00350678" w:rsidP="00A351D3">
          <w:pPr>
            <w:numPr>
              <w:ilvl w:val="0"/>
              <w:numId w:val="1"/>
            </w:numPr>
            <w:tabs>
              <w:tab w:val="left" w:pos="709"/>
            </w:tabs>
            <w:spacing w:line="240" w:lineRule="auto"/>
            <w:ind w:left="0" w:firstLine="0"/>
            <w:jc w:val="both"/>
            <w:rPr>
              <w:b/>
              <w:sz w:val="21"/>
              <w:szCs w:val="21"/>
            </w:rPr>
          </w:pPr>
          <w:r w:rsidRPr="00406EBF">
            <w:rPr>
              <w:rFonts w:cstheme="minorHAnsi"/>
              <w:sz w:val="23"/>
              <w:szCs w:val="23"/>
            </w:rPr>
            <w:t xml:space="preserve">L’EEG note que </w:t>
          </w:r>
          <w:r w:rsidR="004D4E5C" w:rsidRPr="00406EBF">
            <w:rPr>
              <w:rFonts w:cstheme="minorHAnsi"/>
              <w:sz w:val="23"/>
              <w:szCs w:val="23"/>
            </w:rPr>
            <w:t>le code n’a pas été mis à jour depuis son adoption</w:t>
          </w:r>
          <w:r w:rsidR="00091D40" w:rsidRPr="00406EBF">
            <w:rPr>
              <w:rFonts w:cstheme="minorHAnsi"/>
              <w:sz w:val="23"/>
              <w:szCs w:val="23"/>
            </w:rPr>
            <w:t xml:space="preserve"> en 2006</w:t>
          </w:r>
          <w:r w:rsidR="004D4E5C" w:rsidRPr="00406EBF">
            <w:rPr>
              <w:rFonts w:cstheme="minorHAnsi"/>
              <w:sz w:val="23"/>
              <w:szCs w:val="23"/>
            </w:rPr>
            <w:t xml:space="preserve">, peut-être parce que la procédure de révision, impliquant la signature du Roi, </w:t>
          </w:r>
          <w:r w:rsidR="00091D40" w:rsidRPr="00406EBF">
            <w:rPr>
              <w:rFonts w:cstheme="minorHAnsi"/>
              <w:sz w:val="23"/>
              <w:szCs w:val="23"/>
            </w:rPr>
            <w:t xml:space="preserve">ne facilite pas une mise à jour régulière. Quoi qu’il en soit, le code nécessite une révision, notamment parce que les règles relatives aux activités accessoires ont récemment été modifiées par voie légale. Le code ne correspond donc plus à la loi sur ce point. L’EEG estime également que certaines règles </w:t>
          </w:r>
          <w:r w:rsidR="00BB76E0" w:rsidRPr="00406EBF">
            <w:rPr>
              <w:rFonts w:cstheme="minorHAnsi"/>
              <w:sz w:val="23"/>
              <w:szCs w:val="23"/>
            </w:rPr>
            <w:t>mériteraient</w:t>
          </w:r>
          <w:r w:rsidR="00091D40" w:rsidRPr="00406EBF">
            <w:rPr>
              <w:rFonts w:cstheme="minorHAnsi"/>
              <w:sz w:val="23"/>
              <w:szCs w:val="23"/>
            </w:rPr>
            <w:t xml:space="preserve"> </w:t>
          </w:r>
          <w:r w:rsidR="00BB76E0" w:rsidRPr="00406EBF">
            <w:rPr>
              <w:rFonts w:cstheme="minorHAnsi"/>
              <w:sz w:val="23"/>
              <w:szCs w:val="23"/>
            </w:rPr>
            <w:t>d’</w:t>
          </w:r>
          <w:r w:rsidR="00091D40" w:rsidRPr="00406EBF">
            <w:rPr>
              <w:rFonts w:cstheme="minorHAnsi"/>
              <w:sz w:val="23"/>
              <w:szCs w:val="23"/>
            </w:rPr>
            <w:t>être affinées et précisées à l’occasion d’une telle mise à jour, comme les règles relatives à l’acceptation de cadeaux symboliques</w:t>
          </w:r>
          <w:r w:rsidR="00BB76E0" w:rsidRPr="00406EBF">
            <w:rPr>
              <w:rFonts w:cstheme="minorHAnsi"/>
              <w:sz w:val="23"/>
              <w:szCs w:val="23"/>
            </w:rPr>
            <w:t xml:space="preserve"> et</w:t>
          </w:r>
          <w:r w:rsidR="00091D40" w:rsidRPr="00406EBF">
            <w:rPr>
              <w:rFonts w:cstheme="minorHAnsi"/>
              <w:sz w:val="23"/>
              <w:szCs w:val="23"/>
            </w:rPr>
            <w:t xml:space="preserve"> cel</w:t>
          </w:r>
          <w:r w:rsidR="00BB76E0" w:rsidRPr="00406EBF">
            <w:rPr>
              <w:rFonts w:cstheme="minorHAnsi"/>
              <w:sz w:val="23"/>
              <w:szCs w:val="23"/>
            </w:rPr>
            <w:t xml:space="preserve">les relatives à l’abstention en cas d’implication personnelle dans une affaire. </w:t>
          </w:r>
          <w:r w:rsidR="005C368A" w:rsidRPr="00406EBF">
            <w:rPr>
              <w:b/>
              <w:sz w:val="23"/>
              <w:szCs w:val="23"/>
            </w:rPr>
            <w:t xml:space="preserve">Le GRECO recommande </w:t>
          </w:r>
          <w:bookmarkStart w:id="116" w:name="_Hlk26528778"/>
          <w:r w:rsidR="00A05514" w:rsidRPr="00406EBF">
            <w:rPr>
              <w:b/>
              <w:sz w:val="23"/>
              <w:szCs w:val="23"/>
            </w:rPr>
            <w:t xml:space="preserve">que le </w:t>
          </w:r>
          <w:r w:rsidR="005C368A" w:rsidRPr="00406EBF">
            <w:rPr>
              <w:b/>
              <w:sz w:val="23"/>
              <w:szCs w:val="23"/>
            </w:rPr>
            <w:t>code de déontologie</w:t>
          </w:r>
          <w:r w:rsidR="00A05514" w:rsidRPr="00406EBF">
            <w:rPr>
              <w:b/>
              <w:sz w:val="23"/>
              <w:szCs w:val="23"/>
            </w:rPr>
            <w:t xml:space="preserve"> soit actualisé et que des dispositions soient prises pour qu’une mise à jour régulière puisse avoir lieu à l’avenir</w:t>
          </w:r>
          <w:bookmarkEnd w:id="116"/>
          <w:r w:rsidR="005C368A" w:rsidRPr="00406EBF">
            <w:rPr>
              <w:b/>
              <w:sz w:val="23"/>
              <w:szCs w:val="23"/>
            </w:rPr>
            <w:t>.</w:t>
          </w:r>
        </w:p>
        <w:p w14:paraId="41EBDF1B" w14:textId="77777777" w:rsidR="00875897" w:rsidRPr="00406EBF" w:rsidRDefault="00875897" w:rsidP="00875897">
          <w:pPr>
            <w:tabs>
              <w:tab w:val="left" w:pos="709"/>
            </w:tabs>
            <w:spacing w:line="240" w:lineRule="auto"/>
            <w:jc w:val="both"/>
            <w:rPr>
              <w:b/>
              <w:sz w:val="21"/>
              <w:szCs w:val="21"/>
            </w:rPr>
          </w:pPr>
        </w:p>
        <w:p w14:paraId="10DAEF05" w14:textId="4ED7CDD0" w:rsidR="00875897" w:rsidRPr="00FD0268" w:rsidRDefault="00875897" w:rsidP="00A351D3">
          <w:pPr>
            <w:numPr>
              <w:ilvl w:val="0"/>
              <w:numId w:val="1"/>
            </w:numPr>
            <w:tabs>
              <w:tab w:val="left" w:pos="709"/>
            </w:tabs>
            <w:spacing w:line="240" w:lineRule="auto"/>
            <w:ind w:left="0" w:firstLine="0"/>
            <w:jc w:val="both"/>
            <w:rPr>
              <w:b/>
              <w:sz w:val="23"/>
              <w:szCs w:val="23"/>
            </w:rPr>
          </w:pPr>
          <w:r w:rsidRPr="00FD0268">
            <w:rPr>
              <w:sz w:val="23"/>
              <w:szCs w:val="23"/>
            </w:rPr>
            <w:t xml:space="preserve">Le code de déontologie prévoit en outre la création d’une </w:t>
          </w:r>
          <w:r w:rsidR="00562AA4">
            <w:rPr>
              <w:sz w:val="23"/>
              <w:szCs w:val="23"/>
            </w:rPr>
            <w:t>C</w:t>
          </w:r>
          <w:r w:rsidRPr="00FD0268">
            <w:rPr>
              <w:sz w:val="23"/>
              <w:szCs w:val="23"/>
            </w:rPr>
            <w:t xml:space="preserve">ommission de déontologie </w:t>
          </w:r>
          <w:r w:rsidR="00562AA4">
            <w:rPr>
              <w:sz w:val="23"/>
              <w:szCs w:val="23"/>
            </w:rPr>
            <w:t xml:space="preserve">de la Police </w:t>
          </w:r>
          <w:r w:rsidRPr="00FD0268">
            <w:rPr>
              <w:sz w:val="23"/>
              <w:szCs w:val="23"/>
            </w:rPr>
            <w:t xml:space="preserve">chargée de donner des avis sur l’application, l’interprétation et l’évaluation du code, et de proposer les adaptations jugées pertinentes. Elle est composée de deux représentants de la police fédérale, deux représentants de la police locale, un représentant de chaque organisation représentative du personnel et elle est présidée par un représentant du ministère de l’Intérieur. </w:t>
          </w:r>
          <w:r w:rsidR="00C24A49">
            <w:rPr>
              <w:sz w:val="23"/>
              <w:szCs w:val="23"/>
            </w:rPr>
            <w:t xml:space="preserve">La commission peut se faire assister par des experts. Sur décision du ministre de l’Intérieur en date du 12 août 2008, l’Inspection générale des services de police (AIG) est désignée comme expert permanent, sans droit de vote. </w:t>
          </w:r>
          <w:r w:rsidRPr="00FD0268">
            <w:rPr>
              <w:sz w:val="23"/>
              <w:szCs w:val="23"/>
            </w:rPr>
            <w:t xml:space="preserve">Selon les informations de l’EEG, </w:t>
          </w:r>
          <w:r w:rsidR="00C24A49">
            <w:rPr>
              <w:sz w:val="23"/>
              <w:szCs w:val="23"/>
            </w:rPr>
            <w:t>la</w:t>
          </w:r>
          <w:r w:rsidR="00C24A49" w:rsidRPr="00FD0268">
            <w:rPr>
              <w:sz w:val="23"/>
              <w:szCs w:val="23"/>
            </w:rPr>
            <w:t xml:space="preserve"> </w:t>
          </w:r>
          <w:r w:rsidR="00C24A49">
            <w:rPr>
              <w:sz w:val="23"/>
              <w:szCs w:val="23"/>
            </w:rPr>
            <w:t>C</w:t>
          </w:r>
          <w:r w:rsidRPr="00FD0268">
            <w:rPr>
              <w:sz w:val="23"/>
              <w:szCs w:val="23"/>
            </w:rPr>
            <w:t xml:space="preserve">ommission </w:t>
          </w:r>
          <w:r w:rsidR="00C24A49">
            <w:rPr>
              <w:sz w:val="23"/>
              <w:szCs w:val="23"/>
            </w:rPr>
            <w:t xml:space="preserve">de déontologie de la Police </w:t>
          </w:r>
          <w:r w:rsidRPr="00FD0268">
            <w:rPr>
              <w:sz w:val="23"/>
              <w:szCs w:val="23"/>
            </w:rPr>
            <w:t>existe mais se réunit rarement et ne semble pas jouer un rôle très actif en matière de politique d’intégrité</w:t>
          </w:r>
          <w:r w:rsidR="00C24A49">
            <w:rPr>
              <w:rStyle w:val="Appelnotedebasdep"/>
              <w:sz w:val="23"/>
              <w:szCs w:val="23"/>
            </w:rPr>
            <w:footnoteReference w:id="54"/>
          </w:r>
          <w:r w:rsidRPr="00FD0268">
            <w:rPr>
              <w:sz w:val="23"/>
              <w:szCs w:val="23"/>
            </w:rPr>
            <w:t>. L’EEG estime</w:t>
          </w:r>
          <w:r w:rsidR="00C772D7" w:rsidRPr="00FD0268">
            <w:rPr>
              <w:sz w:val="23"/>
              <w:szCs w:val="23"/>
            </w:rPr>
            <w:t xml:space="preserve"> que cette commission devrait se montrer plus proactive, en complément du rôle du Service CG/Intégrité, et ce d’autant plus que la tâche de mise à jour du code de déontologie semble lui incomber.</w:t>
          </w:r>
        </w:p>
        <w:p w14:paraId="3A104EFC" w14:textId="77777777" w:rsidR="00FF6036" w:rsidRPr="00406EBF" w:rsidRDefault="00FF6036" w:rsidP="001878CC">
          <w:pPr>
            <w:tabs>
              <w:tab w:val="left" w:pos="709"/>
            </w:tabs>
            <w:spacing w:line="240" w:lineRule="auto"/>
            <w:jc w:val="both"/>
            <w:rPr>
              <w:rFonts w:cstheme="minorHAnsi"/>
              <w:sz w:val="23"/>
              <w:szCs w:val="23"/>
            </w:rPr>
          </w:pPr>
        </w:p>
        <w:p w14:paraId="1EB2EDEB" w14:textId="77777777" w:rsidR="00F50404" w:rsidRPr="00406EBF" w:rsidRDefault="00F50404" w:rsidP="001878CC">
          <w:pPr>
            <w:pStyle w:val="Titre3"/>
            <w:tabs>
              <w:tab w:val="left" w:pos="709"/>
            </w:tabs>
            <w:spacing w:before="0" w:line="240" w:lineRule="auto"/>
            <w:rPr>
              <w:rFonts w:asciiTheme="minorHAnsi" w:hAnsiTheme="minorHAnsi" w:cstheme="minorHAnsi"/>
              <w:b w:val="0"/>
              <w:i/>
              <w:color w:val="auto"/>
              <w:sz w:val="23"/>
              <w:szCs w:val="23"/>
            </w:rPr>
          </w:pPr>
          <w:bookmarkStart w:id="117" w:name="_Toc2777417"/>
          <w:bookmarkStart w:id="118" w:name="_Toc21339590"/>
          <w:r w:rsidRPr="00406EBF">
            <w:rPr>
              <w:rFonts w:asciiTheme="minorHAnsi" w:hAnsiTheme="minorHAnsi" w:cstheme="minorHAnsi"/>
              <w:b w:val="0"/>
              <w:i/>
              <w:color w:val="auto"/>
              <w:sz w:val="23"/>
              <w:szCs w:val="23"/>
            </w:rPr>
            <w:t>Conseil, formation et sensibilisation</w:t>
          </w:r>
          <w:bookmarkEnd w:id="117"/>
          <w:bookmarkEnd w:id="118"/>
          <w:r w:rsidRPr="00406EBF">
            <w:rPr>
              <w:rFonts w:asciiTheme="minorHAnsi" w:hAnsiTheme="minorHAnsi" w:cstheme="minorHAnsi"/>
              <w:b w:val="0"/>
              <w:i/>
              <w:color w:val="auto"/>
              <w:sz w:val="23"/>
              <w:szCs w:val="23"/>
            </w:rPr>
            <w:t xml:space="preserve"> </w:t>
          </w:r>
        </w:p>
        <w:p w14:paraId="515E1814" w14:textId="77777777" w:rsidR="007C316A" w:rsidRPr="00406EBF" w:rsidRDefault="007C316A" w:rsidP="001878CC">
          <w:pPr>
            <w:spacing w:line="240" w:lineRule="auto"/>
            <w:jc w:val="both"/>
            <w:rPr>
              <w:rFonts w:cstheme="minorHAnsi"/>
              <w:sz w:val="23"/>
              <w:szCs w:val="23"/>
            </w:rPr>
          </w:pPr>
        </w:p>
        <w:p w14:paraId="21CE8A97" w14:textId="77777777" w:rsidR="00531F8E" w:rsidRPr="00406EBF" w:rsidRDefault="00531F8E" w:rsidP="00531F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L’offre de formation est proposée aux membres de la police fédérale </w:t>
          </w:r>
          <w:r w:rsidR="00072017" w:rsidRPr="00406EBF">
            <w:rPr>
              <w:rFonts w:cstheme="minorHAnsi"/>
              <w:sz w:val="23"/>
              <w:szCs w:val="23"/>
            </w:rPr>
            <w:t>par</w:t>
          </w:r>
          <w:r w:rsidRPr="00406EBF">
            <w:rPr>
              <w:rFonts w:cstheme="minorHAnsi"/>
              <w:sz w:val="23"/>
              <w:szCs w:val="23"/>
            </w:rPr>
            <w:t xml:space="preserve"> l’Académie Nationale de Police (unique pour l’ensemble de la Police intégrée, échelon national) ou </w:t>
          </w:r>
          <w:r w:rsidR="004854B0" w:rsidRPr="00406EBF">
            <w:rPr>
              <w:rFonts w:cstheme="minorHAnsi"/>
              <w:sz w:val="23"/>
              <w:szCs w:val="23"/>
            </w:rPr>
            <w:t xml:space="preserve">les </w:t>
          </w:r>
          <w:r w:rsidRPr="00406EBF">
            <w:rPr>
              <w:rFonts w:cstheme="minorHAnsi"/>
              <w:sz w:val="23"/>
              <w:szCs w:val="23"/>
            </w:rPr>
            <w:t>écoles de police agréées (échelon provincial).</w:t>
          </w:r>
        </w:p>
        <w:p w14:paraId="0BA775BC" w14:textId="77777777" w:rsidR="00531F8E" w:rsidRPr="00406EBF" w:rsidRDefault="00531F8E" w:rsidP="00531F8E">
          <w:pPr>
            <w:tabs>
              <w:tab w:val="left" w:pos="709"/>
            </w:tabs>
            <w:spacing w:line="240" w:lineRule="auto"/>
            <w:jc w:val="both"/>
            <w:rPr>
              <w:rFonts w:cstheme="minorHAnsi"/>
              <w:sz w:val="23"/>
              <w:szCs w:val="23"/>
            </w:rPr>
          </w:pPr>
        </w:p>
        <w:p w14:paraId="325C6D96" w14:textId="77777777" w:rsidR="00531F8E" w:rsidRPr="00406EBF" w:rsidRDefault="00531F8E" w:rsidP="00531F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Dans le cadre de la </w:t>
          </w:r>
          <w:r w:rsidRPr="00406EBF">
            <w:rPr>
              <w:rFonts w:cstheme="minorHAnsi"/>
              <w:sz w:val="23"/>
              <w:szCs w:val="23"/>
              <w:u w:val="single"/>
            </w:rPr>
            <w:t>formation de base</w:t>
          </w:r>
          <w:r w:rsidRPr="00406EBF">
            <w:rPr>
              <w:rFonts w:cstheme="minorHAnsi"/>
              <w:sz w:val="23"/>
              <w:szCs w:val="23"/>
            </w:rPr>
            <w:t xml:space="preserve"> des fonctionnaires de police (cadres de base, moyen et officier), qui est obligatoire, les éléments suivants sont intégrés dans le programme des cours :</w:t>
          </w:r>
        </w:p>
        <w:p w14:paraId="1EE4E77D" w14:textId="77777777" w:rsidR="00531F8E" w:rsidRPr="00406EBF" w:rsidRDefault="00531F8E" w:rsidP="00531F8E">
          <w:pPr>
            <w:pStyle w:val="Paragraphedeliste"/>
            <w:rPr>
              <w:rFonts w:cstheme="minorHAnsi"/>
              <w:sz w:val="23"/>
              <w:szCs w:val="23"/>
            </w:rPr>
          </w:pPr>
        </w:p>
        <w:p w14:paraId="4E9171A3" w14:textId="77777777" w:rsidR="00531F8E" w:rsidRPr="00406EBF" w:rsidRDefault="00531F8E" w:rsidP="00531F8E">
          <w:pPr>
            <w:numPr>
              <w:ilvl w:val="1"/>
              <w:numId w:val="1"/>
            </w:numPr>
            <w:tabs>
              <w:tab w:val="left" w:pos="709"/>
            </w:tabs>
            <w:spacing w:line="240" w:lineRule="auto"/>
            <w:jc w:val="both"/>
            <w:rPr>
              <w:rFonts w:cstheme="minorHAnsi"/>
              <w:sz w:val="23"/>
              <w:szCs w:val="23"/>
            </w:rPr>
          </w:pPr>
          <w:r w:rsidRPr="00406EBF">
            <w:rPr>
              <w:rFonts w:cstheme="minorHAnsi"/>
              <w:sz w:val="23"/>
              <w:szCs w:val="23"/>
            </w:rPr>
            <w:t>Déontologie policière : identifier les agissements hors norme et y réagir selon le niveau ;</w:t>
          </w:r>
          <w:r w:rsidR="004854B0" w:rsidRPr="00406EBF">
            <w:rPr>
              <w:rFonts w:cstheme="minorHAnsi"/>
              <w:sz w:val="23"/>
              <w:szCs w:val="23"/>
            </w:rPr>
            <w:t xml:space="preserve"> cette formation dure de 8 à 30 heures selon les grades.</w:t>
          </w:r>
        </w:p>
        <w:p w14:paraId="3CC16224" w14:textId="1F627544" w:rsidR="00531F8E" w:rsidRPr="00406EBF" w:rsidRDefault="00531F8E" w:rsidP="00531F8E">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Domaines spécifiques du droit (notamment la LPI, le statut disciplinaire et le Code Pénal) : qualifier sur base de cas concrets un délit dans lequel un </w:t>
          </w:r>
          <w:r w:rsidR="003E5338">
            <w:rPr>
              <w:rFonts w:cstheme="minorHAnsi"/>
              <w:sz w:val="23"/>
              <w:szCs w:val="23"/>
            </w:rPr>
            <w:t xml:space="preserve">membre du </w:t>
          </w:r>
          <w:r w:rsidR="003E5338">
            <w:rPr>
              <w:rFonts w:cstheme="minorHAnsi"/>
              <w:sz w:val="23"/>
              <w:szCs w:val="23"/>
            </w:rPr>
            <w:lastRenderedPageBreak/>
            <w:t>personnel</w:t>
          </w:r>
          <w:r w:rsidR="003E5338" w:rsidRPr="00406EBF">
            <w:rPr>
              <w:rFonts w:cstheme="minorHAnsi"/>
              <w:sz w:val="23"/>
              <w:szCs w:val="23"/>
            </w:rPr>
            <w:t xml:space="preserve"> </w:t>
          </w:r>
          <w:r w:rsidRPr="00406EBF">
            <w:rPr>
              <w:rFonts w:cstheme="minorHAnsi"/>
              <w:sz w:val="23"/>
              <w:szCs w:val="23"/>
            </w:rPr>
            <w:t>est impliqué en tant que suspect et en expliquer les conséquences possibles ;</w:t>
          </w:r>
        </w:p>
        <w:p w14:paraId="61DED671" w14:textId="77777777" w:rsidR="00531F8E" w:rsidRPr="00406EBF" w:rsidRDefault="00531F8E" w:rsidP="00531F8E">
          <w:pPr>
            <w:numPr>
              <w:ilvl w:val="1"/>
              <w:numId w:val="1"/>
            </w:numPr>
            <w:tabs>
              <w:tab w:val="left" w:pos="709"/>
            </w:tabs>
            <w:spacing w:line="240" w:lineRule="auto"/>
            <w:jc w:val="both"/>
            <w:rPr>
              <w:rFonts w:cstheme="minorHAnsi"/>
              <w:sz w:val="23"/>
              <w:szCs w:val="23"/>
            </w:rPr>
          </w:pPr>
          <w:r w:rsidRPr="00406EBF">
            <w:rPr>
              <w:rFonts w:cstheme="minorHAnsi"/>
              <w:sz w:val="23"/>
              <w:szCs w:val="23"/>
            </w:rPr>
            <w:t>Contexte sociétal : reconnaître et expliquer les comportements déviants de la norme à partir de différents contextes.</w:t>
          </w:r>
        </w:p>
        <w:p w14:paraId="3CD5A550" w14:textId="77777777" w:rsidR="00531F8E" w:rsidRPr="00406EBF" w:rsidRDefault="00531F8E" w:rsidP="00531F8E">
          <w:pPr>
            <w:tabs>
              <w:tab w:val="left" w:pos="709"/>
            </w:tabs>
            <w:spacing w:line="240" w:lineRule="auto"/>
            <w:ind w:left="4962"/>
            <w:jc w:val="both"/>
            <w:rPr>
              <w:rFonts w:cstheme="minorHAnsi"/>
              <w:sz w:val="23"/>
              <w:szCs w:val="23"/>
            </w:rPr>
          </w:pPr>
        </w:p>
        <w:p w14:paraId="6B33B5FE" w14:textId="77777777" w:rsidR="000F17FF" w:rsidRPr="00406EBF" w:rsidRDefault="000F17FF" w:rsidP="000F17F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Dans le cadre de la </w:t>
          </w:r>
          <w:r w:rsidRPr="00406EBF">
            <w:rPr>
              <w:rFonts w:cstheme="minorHAnsi"/>
              <w:sz w:val="23"/>
              <w:szCs w:val="23"/>
              <w:u w:val="single"/>
            </w:rPr>
            <w:t>formation fonctionnelle en police judiciaire</w:t>
          </w:r>
          <w:r w:rsidRPr="00406EBF">
            <w:rPr>
              <w:rFonts w:cstheme="minorHAnsi"/>
              <w:sz w:val="23"/>
              <w:szCs w:val="23"/>
            </w:rPr>
            <w:t>, la corruption de personnes qui exercent une fonction publique et l’abus d’autorité sont abordés lors de la partie sur les crimes et des délits contre l’ordre public, commis par des personnes qui exercent une fonction publique, d’une durée de 3 heures et dispensée par un membre du Comité P (contrôle des services de police, voir ci-dessous). Cette formation est obligatoire pour les personnes appelées à occuper une fonction judiciaire dans un service central ou local de police. Elle est dispensée par l’Académie Nationale de Police. Le taux de participation était de 155 en 2016, 152 en 2017 et 304 en 2018. Le budget alloué pour la formation fonctionnelle est de 21.551,83 € brut par session de formation complète.</w:t>
          </w:r>
        </w:p>
        <w:p w14:paraId="39D9B980" w14:textId="77777777" w:rsidR="000F17FF" w:rsidRPr="00406EBF" w:rsidRDefault="000F17FF" w:rsidP="000F17FF">
          <w:pPr>
            <w:tabs>
              <w:tab w:val="left" w:pos="709"/>
            </w:tabs>
            <w:spacing w:line="240" w:lineRule="auto"/>
            <w:jc w:val="both"/>
            <w:rPr>
              <w:rFonts w:cstheme="minorHAnsi"/>
              <w:sz w:val="23"/>
              <w:szCs w:val="23"/>
            </w:rPr>
          </w:pPr>
        </w:p>
        <w:p w14:paraId="70AE3073" w14:textId="77777777" w:rsidR="000F17FF" w:rsidRPr="00406EBF" w:rsidRDefault="000F17FF" w:rsidP="000F17F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Enfin, différentes </w:t>
          </w:r>
          <w:r w:rsidRPr="00406EBF">
            <w:rPr>
              <w:rFonts w:cstheme="minorHAnsi"/>
              <w:sz w:val="23"/>
              <w:szCs w:val="23"/>
              <w:u w:val="single"/>
            </w:rPr>
            <w:t>formations continues</w:t>
          </w:r>
          <w:r w:rsidRPr="00406EBF">
            <w:rPr>
              <w:rFonts w:cstheme="minorHAnsi"/>
              <w:sz w:val="23"/>
              <w:szCs w:val="23"/>
            </w:rPr>
            <w:t xml:space="preserve"> apportent également des connaissances dans le cadre de la lutte contre la corruption en matière de déontologie et d’intégrité. Ces formations dispensées au niveau d’écoles de police agréées et/ou de l’Académie Nationale de Police concernent environ 300 membres des services de police chaque année. Certaines sessions sont spécifiquement dédiées aux mandataires et responsables.</w:t>
          </w:r>
        </w:p>
        <w:p w14:paraId="65859A85" w14:textId="77777777" w:rsidR="000F17FF" w:rsidRPr="00406EBF" w:rsidRDefault="000F17FF" w:rsidP="000F17FF">
          <w:pPr>
            <w:pStyle w:val="Paragraphedeliste"/>
            <w:rPr>
              <w:rFonts w:cstheme="minorHAnsi"/>
              <w:sz w:val="23"/>
              <w:szCs w:val="23"/>
            </w:rPr>
          </w:pPr>
        </w:p>
        <w:p w14:paraId="5185CC23" w14:textId="77777777" w:rsidR="007C316A" w:rsidRPr="00406EBF" w:rsidRDefault="00B1493B" w:rsidP="00B13AF4">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normes et les valeurs de la police fédérale sont également reprises dans l'entretien de planification et ensuite testées lors de l'entretien d'évaluation dans le cadre de l'évaluation du personnel.</w:t>
          </w:r>
        </w:p>
        <w:p w14:paraId="14F5432B" w14:textId="77777777" w:rsidR="00A80ED5" w:rsidRPr="00406EBF" w:rsidRDefault="00A80ED5" w:rsidP="00A80ED5">
          <w:pPr>
            <w:pStyle w:val="Paragraphedeliste"/>
            <w:rPr>
              <w:rFonts w:cstheme="minorHAnsi"/>
              <w:sz w:val="23"/>
              <w:szCs w:val="23"/>
            </w:rPr>
          </w:pPr>
        </w:p>
        <w:p w14:paraId="201E840B" w14:textId="77777777" w:rsidR="00A80ED5" w:rsidRPr="00406EBF" w:rsidRDefault="00A80ED5" w:rsidP="00B13AF4">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L’EEG est d’avis que la formation, notamment initiale, à l’éthique et à la déontologie est satisfaisante. L’intégrité semble être un des quatre axes prioritaires de la formation, ce qui est positif. L’EEG a également reçu des informations sur certains cours particulièrement intéressants, notamment sur les dilemmes éthiques ou les préjugés ethniques, qui méritent d’être encouragés.</w:t>
          </w:r>
        </w:p>
        <w:p w14:paraId="4DBC4F0B" w14:textId="77777777" w:rsidR="00511E3C" w:rsidRPr="00406EBF" w:rsidRDefault="00511E3C" w:rsidP="00511E3C">
          <w:pPr>
            <w:pStyle w:val="Paragraphedeliste"/>
            <w:rPr>
              <w:rFonts w:cstheme="minorHAnsi"/>
              <w:sz w:val="23"/>
              <w:szCs w:val="23"/>
            </w:rPr>
          </w:pPr>
        </w:p>
        <w:p w14:paraId="4C3149EA" w14:textId="77777777" w:rsidR="00E5336C" w:rsidRPr="00406EBF" w:rsidRDefault="00E5336C" w:rsidP="001878CC">
          <w:pPr>
            <w:pStyle w:val="Titre2"/>
            <w:tabs>
              <w:tab w:val="left" w:pos="709"/>
            </w:tabs>
            <w:spacing w:before="0" w:line="240" w:lineRule="auto"/>
            <w:rPr>
              <w:rFonts w:asciiTheme="minorHAnsi" w:hAnsiTheme="minorHAnsi"/>
              <w:color w:val="auto"/>
              <w:sz w:val="23"/>
              <w:szCs w:val="23"/>
              <w:u w:val="single"/>
            </w:rPr>
          </w:pPr>
          <w:bookmarkStart w:id="119" w:name="_Toc2777418"/>
          <w:bookmarkStart w:id="120" w:name="_Toc21339591"/>
          <w:r w:rsidRPr="00406EBF">
            <w:rPr>
              <w:rFonts w:asciiTheme="minorHAnsi" w:hAnsiTheme="minorHAnsi"/>
              <w:color w:val="auto"/>
              <w:sz w:val="23"/>
              <w:szCs w:val="23"/>
              <w:u w:val="single"/>
            </w:rPr>
            <w:t>Recrutement et évolution de carrière</w:t>
          </w:r>
          <w:bookmarkEnd w:id="119"/>
          <w:bookmarkEnd w:id="120"/>
        </w:p>
        <w:p w14:paraId="19ED6596" w14:textId="77777777" w:rsidR="00E5336C" w:rsidRPr="00406EBF" w:rsidRDefault="00E5336C" w:rsidP="001878CC">
          <w:pPr>
            <w:keepNext/>
            <w:tabs>
              <w:tab w:val="left" w:pos="567"/>
              <w:tab w:val="left" w:pos="709"/>
            </w:tabs>
            <w:suppressAutoHyphens/>
            <w:spacing w:line="240" w:lineRule="auto"/>
            <w:jc w:val="both"/>
            <w:rPr>
              <w:rFonts w:cstheme="minorHAnsi"/>
              <w:sz w:val="23"/>
              <w:szCs w:val="23"/>
            </w:rPr>
          </w:pPr>
        </w:p>
        <w:p w14:paraId="435EDB39"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21" w:name="_Toc2777419"/>
          <w:bookmarkStart w:id="122" w:name="_Toc21339592"/>
          <w:r w:rsidRPr="00406EBF">
            <w:rPr>
              <w:rFonts w:asciiTheme="minorHAnsi" w:hAnsiTheme="minorHAnsi" w:cstheme="minorHAnsi"/>
              <w:b w:val="0"/>
              <w:i/>
              <w:color w:val="auto"/>
              <w:sz w:val="23"/>
              <w:szCs w:val="23"/>
            </w:rPr>
            <w:t>Régimes d'emploi</w:t>
          </w:r>
          <w:bookmarkEnd w:id="121"/>
          <w:bookmarkEnd w:id="122"/>
        </w:p>
        <w:p w14:paraId="290CE83C" w14:textId="77777777" w:rsidR="00E5336C" w:rsidRPr="00406EBF" w:rsidRDefault="00E5336C" w:rsidP="001878CC">
          <w:pPr>
            <w:keepNext/>
            <w:tabs>
              <w:tab w:val="left" w:pos="567"/>
              <w:tab w:val="left" w:pos="709"/>
            </w:tabs>
            <w:suppressAutoHyphens/>
            <w:spacing w:line="240" w:lineRule="auto"/>
            <w:jc w:val="both"/>
            <w:rPr>
              <w:rFonts w:cstheme="minorHAnsi"/>
              <w:sz w:val="23"/>
              <w:szCs w:val="23"/>
            </w:rPr>
          </w:pPr>
        </w:p>
        <w:p w14:paraId="6F36070F" w14:textId="6ACEF6D8" w:rsidR="00DE67BF" w:rsidRPr="00406EBF" w:rsidRDefault="00DE67BF" w:rsidP="00DE67B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Commissaires divisionnaires mandataires (Commissaire général, Directeurs généraux, Directeurs Coordinateurs et Directeurs Judiciaires) sont désignés dans leur fonction pour </w:t>
          </w:r>
          <w:r w:rsidR="001E71B6">
            <w:rPr>
              <w:rFonts w:cstheme="minorHAnsi"/>
              <w:sz w:val="23"/>
              <w:szCs w:val="23"/>
            </w:rPr>
            <w:t>une durée de cinq ans. Nul ne peut être désigné à un mandat de la police fédérale s’il n’a pas été déclaré apte par une commission de sélection. Ces désignations sont renouvelées (indéfiniment) sur avis d’une commission d’évaluation</w:t>
          </w:r>
          <w:r w:rsidRPr="00406EBF">
            <w:rPr>
              <w:rFonts w:cstheme="minorHAnsi"/>
              <w:sz w:val="23"/>
              <w:szCs w:val="23"/>
            </w:rPr>
            <w:t xml:space="preserve">. </w:t>
          </w:r>
          <w:r w:rsidR="001E71B6">
            <w:rPr>
              <w:rFonts w:cstheme="minorHAnsi"/>
              <w:sz w:val="23"/>
              <w:szCs w:val="23"/>
            </w:rPr>
            <w:t>Le Commissaire général et les Directeurs généraux sont nommés par le Roi sur proposition des ministres de la Justice et de l’Intérieur et après avis motivé du Conseil fédéral de police (dans lequel le Commissaire général ne siège pas pour le renouvellement de son mandat). Pour la désignation du Directeur général de la direction générale de la police judiciaire, l’avis motivé du Collège des procureurs généraux est en outre requis. Le Directeur coordinateur administratif</w:t>
          </w:r>
          <w:r w:rsidR="00D040B5">
            <w:rPr>
              <w:rFonts w:cstheme="minorHAnsi"/>
              <w:sz w:val="23"/>
              <w:szCs w:val="23"/>
            </w:rPr>
            <w:t xml:space="preserve"> est désigné à son emploi par le Roi, sur proposition du ministre de l’Intérieur et après avis motivé du ministre de la Justice et du Gouverneur. Le Directeur judiciaire est désigné à son emploi par le Roi, sur proposition du ministre de la Justice et après avis motivé du ministre de l’Intérieur et du Procureur général près la Cour d’appel territorialement compétent. Il peut être mis fin anticipativement à un mandat de la police fédérale s’il apparaît, sur base d’une évaluation de la commission d’évaluation, que ce dernier obtient une mention « insuffisant ».</w:t>
          </w:r>
          <w:r w:rsidR="001E71B6">
            <w:rPr>
              <w:rFonts w:cstheme="minorHAnsi"/>
              <w:sz w:val="23"/>
              <w:szCs w:val="23"/>
            </w:rPr>
            <w:t xml:space="preserve"> </w:t>
          </w:r>
        </w:p>
        <w:p w14:paraId="06B9AC4F" w14:textId="77777777" w:rsidR="008F0306" w:rsidRPr="00406EBF" w:rsidRDefault="008F0306" w:rsidP="008F0306">
          <w:pPr>
            <w:pStyle w:val="Paragraphedeliste"/>
            <w:rPr>
              <w:rFonts w:cstheme="minorHAnsi"/>
              <w:sz w:val="23"/>
              <w:szCs w:val="23"/>
            </w:rPr>
          </w:pPr>
        </w:p>
        <w:p w14:paraId="1C140EDF" w14:textId="77777777" w:rsidR="00F742BF" w:rsidRPr="00406EBF" w:rsidRDefault="00F742BF" w:rsidP="00F742B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 xml:space="preserve">Tous les membres du cadre opérationnel sont nommés statutairement, à temps plein et à durée indéterminée. Les agents de police peuvent être statutaires ou contractuels, mais à la </w:t>
          </w:r>
          <w:r w:rsidR="007F2679">
            <w:rPr>
              <w:rFonts w:cstheme="minorHAnsi"/>
              <w:sz w:val="23"/>
              <w:szCs w:val="23"/>
            </w:rPr>
            <w:t>p</w:t>
          </w:r>
          <w:r w:rsidRPr="00406EBF">
            <w:rPr>
              <w:rFonts w:cstheme="minorHAnsi"/>
              <w:sz w:val="23"/>
              <w:szCs w:val="23"/>
            </w:rPr>
            <w:t xml:space="preserve">olice </w:t>
          </w:r>
          <w:r w:rsidR="007F2679">
            <w:rPr>
              <w:rFonts w:cstheme="minorHAnsi"/>
              <w:sz w:val="23"/>
              <w:szCs w:val="23"/>
            </w:rPr>
            <w:t>f</w:t>
          </w:r>
          <w:r w:rsidRPr="00406EBF">
            <w:rPr>
              <w:rFonts w:cstheme="minorHAnsi"/>
              <w:sz w:val="23"/>
              <w:szCs w:val="23"/>
            </w:rPr>
            <w:t>édérale, le principe est la nomination statutaire. Ils sont nommés, selon leur grade, par le Roi, le ministre de l’Intérieur ou le Directeur général des Ressources et de l’information (ou l’autorité qu’il désigne).</w:t>
          </w:r>
        </w:p>
        <w:p w14:paraId="488B2F04" w14:textId="77777777" w:rsidR="00F742BF" w:rsidRPr="00406EBF" w:rsidRDefault="00F742BF" w:rsidP="00F742BF">
          <w:pPr>
            <w:pStyle w:val="Paragraphedeliste"/>
            <w:rPr>
              <w:rFonts w:cstheme="minorHAnsi"/>
              <w:sz w:val="23"/>
              <w:szCs w:val="23"/>
            </w:rPr>
          </w:pPr>
        </w:p>
        <w:p w14:paraId="1E979A86" w14:textId="77777777" w:rsidR="00F742BF" w:rsidRPr="00406EBF" w:rsidRDefault="00F742BF" w:rsidP="00F742B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L’EEG souligne que le statut des cadres mandataires comporte une faiblesse, due au fait qu’un gouvernement en affaires courantes – comme c’est le cas depuis décembre 2018 – ne procède pas à de telles nominations. Cela implique qu’un nombre important de ces cadres exercent leurs fonctions </w:t>
          </w:r>
          <w:r w:rsidRPr="00406EBF">
            <w:rPr>
              <w:rFonts w:cstheme="minorHAnsi"/>
              <w:i/>
              <w:sz w:val="23"/>
              <w:szCs w:val="23"/>
            </w:rPr>
            <w:t>ad interim</w:t>
          </w:r>
          <w:r w:rsidRPr="00406EBF">
            <w:rPr>
              <w:rFonts w:cstheme="minorHAnsi"/>
              <w:sz w:val="23"/>
              <w:szCs w:val="23"/>
            </w:rPr>
            <w:t>, leur désignation se prolonge</w:t>
          </w:r>
          <w:r w:rsidR="007F2679">
            <w:rPr>
              <w:rFonts w:cstheme="minorHAnsi"/>
              <w:sz w:val="23"/>
              <w:szCs w:val="23"/>
            </w:rPr>
            <w:t>ant</w:t>
          </w:r>
          <w:r w:rsidRPr="00406EBF">
            <w:rPr>
              <w:rFonts w:cstheme="minorHAnsi"/>
              <w:sz w:val="23"/>
              <w:szCs w:val="23"/>
            </w:rPr>
            <w:t xml:space="preserve"> de six mois en six mois. De plus, s’il s’agit d’une promotion interne</w:t>
          </w:r>
          <w:r w:rsidR="004F1DB6" w:rsidRPr="00406EBF">
            <w:rPr>
              <w:rFonts w:cstheme="minorHAnsi"/>
              <w:sz w:val="23"/>
              <w:szCs w:val="23"/>
            </w:rPr>
            <w:t xml:space="preserve">, ces personnes ne peuvent être remplacées dans leur poste d’origine qu’à titre provisoire également. Ceci engendre une certaine instabilité, dont le système et le personnel semblent s’accomoder, mais qui reste indésirable. Lors de la visite sur place, deux des trois directeurs généraux étaient nommés </w:t>
          </w:r>
          <w:r w:rsidR="004F1DB6" w:rsidRPr="00406EBF">
            <w:rPr>
              <w:rFonts w:cstheme="minorHAnsi"/>
              <w:i/>
              <w:sz w:val="23"/>
              <w:szCs w:val="23"/>
            </w:rPr>
            <w:t>ad interim.</w:t>
          </w:r>
          <w:r w:rsidR="004F1DB6" w:rsidRPr="00406EBF">
            <w:rPr>
              <w:rFonts w:cstheme="minorHAnsi"/>
              <w:sz w:val="23"/>
              <w:szCs w:val="23"/>
            </w:rPr>
            <w:t xml:space="preserve"> Ce manque de stabilité engendre des difficultés à mener une politique dans la durée. L’Inspection générale (AIG) a, elle, été dirigée pendant huit ans sur une base </w:t>
          </w:r>
          <w:r w:rsidR="004F1DB6" w:rsidRPr="00406EBF">
            <w:rPr>
              <w:rFonts w:cstheme="minorHAnsi"/>
              <w:i/>
              <w:sz w:val="23"/>
              <w:szCs w:val="23"/>
            </w:rPr>
            <w:t>ad interim</w:t>
          </w:r>
          <w:r w:rsidR="004F1DB6" w:rsidRPr="00406EBF">
            <w:rPr>
              <w:rFonts w:cstheme="minorHAnsi"/>
              <w:sz w:val="23"/>
              <w:szCs w:val="23"/>
            </w:rPr>
            <w:t xml:space="preserve">, ce qui a affaibli cette institution, selon les autorités rencontrées sur place. Par conséquent, </w:t>
          </w:r>
          <w:r w:rsidR="004F1DB6" w:rsidRPr="00406EBF">
            <w:rPr>
              <w:rFonts w:cstheme="minorHAnsi"/>
              <w:b/>
              <w:sz w:val="23"/>
              <w:szCs w:val="23"/>
            </w:rPr>
            <w:t xml:space="preserve">le GRECO recommande </w:t>
          </w:r>
          <w:bookmarkStart w:id="123" w:name="_Hlk26528794"/>
          <w:r w:rsidR="004F1DB6" w:rsidRPr="00406EBF">
            <w:rPr>
              <w:rFonts w:cstheme="minorHAnsi"/>
              <w:b/>
              <w:sz w:val="23"/>
              <w:szCs w:val="23"/>
            </w:rPr>
            <w:t xml:space="preserve">de </w:t>
          </w:r>
          <w:r w:rsidR="00A34579">
            <w:rPr>
              <w:rFonts w:cstheme="minorHAnsi"/>
              <w:b/>
              <w:sz w:val="23"/>
              <w:szCs w:val="23"/>
            </w:rPr>
            <w:t xml:space="preserve">mener une étude sur les moyens de renforcer la stabilité du cadre dirigeant de la police fédérale en vue de </w:t>
          </w:r>
          <w:r w:rsidR="004F1DB6" w:rsidRPr="00406EBF">
            <w:rPr>
              <w:rFonts w:cstheme="minorHAnsi"/>
              <w:b/>
              <w:sz w:val="23"/>
              <w:szCs w:val="23"/>
            </w:rPr>
            <w:t xml:space="preserve">prendre des mesures </w:t>
          </w:r>
          <w:r w:rsidR="00A34579">
            <w:rPr>
              <w:rFonts w:cstheme="minorHAnsi"/>
              <w:b/>
              <w:sz w:val="23"/>
              <w:szCs w:val="23"/>
            </w:rPr>
            <w:t>à cette fin</w:t>
          </w:r>
          <w:bookmarkEnd w:id="123"/>
          <w:r w:rsidR="004F1DB6" w:rsidRPr="00406EBF">
            <w:rPr>
              <w:rFonts w:cstheme="minorHAnsi"/>
              <w:b/>
              <w:sz w:val="23"/>
              <w:szCs w:val="23"/>
            </w:rPr>
            <w:t>.</w:t>
          </w:r>
        </w:p>
        <w:p w14:paraId="390FDA00" w14:textId="77777777" w:rsidR="00F742BF" w:rsidRPr="00406EBF" w:rsidRDefault="00F742BF" w:rsidP="008F0306">
          <w:pPr>
            <w:pStyle w:val="Paragraphedeliste"/>
            <w:rPr>
              <w:rFonts w:cstheme="minorHAnsi"/>
              <w:sz w:val="23"/>
              <w:szCs w:val="23"/>
            </w:rPr>
          </w:pPr>
        </w:p>
        <w:p w14:paraId="302B0B3E"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24" w:name="_Toc2777420"/>
          <w:bookmarkStart w:id="125" w:name="_Toc342554304"/>
          <w:bookmarkStart w:id="126" w:name="_Toc342640979"/>
          <w:bookmarkStart w:id="127" w:name="_Toc21339593"/>
          <w:r w:rsidRPr="00406EBF">
            <w:rPr>
              <w:rFonts w:asciiTheme="minorHAnsi" w:hAnsiTheme="minorHAnsi" w:cstheme="minorHAnsi"/>
              <w:b w:val="0"/>
              <w:i/>
              <w:color w:val="auto"/>
              <w:sz w:val="23"/>
              <w:szCs w:val="23"/>
            </w:rPr>
            <w:t>Procédure de nomination et promotion</w:t>
          </w:r>
          <w:bookmarkEnd w:id="124"/>
          <w:bookmarkEnd w:id="125"/>
          <w:bookmarkEnd w:id="126"/>
          <w:bookmarkEnd w:id="127"/>
        </w:p>
        <w:p w14:paraId="7E5B09CF" w14:textId="77777777" w:rsidR="007C316A" w:rsidRPr="00406EBF" w:rsidRDefault="007C316A" w:rsidP="001878CC">
          <w:pPr>
            <w:spacing w:line="240" w:lineRule="auto"/>
            <w:jc w:val="both"/>
            <w:rPr>
              <w:rFonts w:cstheme="minorHAnsi"/>
              <w:sz w:val="23"/>
              <w:szCs w:val="23"/>
            </w:rPr>
          </w:pPr>
        </w:p>
        <w:p w14:paraId="05944490" w14:textId="77777777" w:rsidR="000D13B7" w:rsidRPr="00406EBF" w:rsidRDefault="000D13B7" w:rsidP="00B90AE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procédure de sélection </w:t>
          </w:r>
          <w:r w:rsidR="00B4067A" w:rsidRPr="00406EBF">
            <w:rPr>
              <w:rFonts w:cstheme="minorHAnsi"/>
              <w:sz w:val="23"/>
              <w:szCs w:val="23"/>
            </w:rPr>
            <w:t xml:space="preserve">initiale </w:t>
          </w:r>
          <w:r w:rsidRPr="00406EBF">
            <w:rPr>
              <w:rFonts w:cstheme="minorHAnsi"/>
              <w:sz w:val="23"/>
              <w:szCs w:val="23"/>
            </w:rPr>
            <w:t>est décrite dans l’arrêté royal du 30 mars 2001 portant la position juridique du personnel des services de police. Elle comprend:</w:t>
          </w:r>
        </w:p>
        <w:p w14:paraId="2416ED41" w14:textId="77777777" w:rsidR="000D13B7" w:rsidRPr="00406EBF" w:rsidRDefault="000D13B7" w:rsidP="000D13B7">
          <w:pPr>
            <w:ind w:left="567"/>
            <w:jc w:val="both"/>
            <w:rPr>
              <w:rFonts w:cstheme="minorHAnsi"/>
              <w:sz w:val="21"/>
              <w:szCs w:val="21"/>
            </w:rPr>
          </w:pPr>
        </w:p>
        <w:p w14:paraId="1E989F25"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sidRPr="00406EBF">
            <w:rPr>
              <w:rFonts w:cstheme="minorHAnsi"/>
              <w:sz w:val="23"/>
              <w:szCs w:val="23"/>
            </w:rPr>
            <w:t>une épreuve permettant d’évaluer les aptitudes cognitives nécessaires;</w:t>
          </w:r>
        </w:p>
        <w:p w14:paraId="601E21AF"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sidRPr="00406EBF">
            <w:rPr>
              <w:rFonts w:cstheme="minorHAnsi"/>
              <w:sz w:val="23"/>
              <w:szCs w:val="23"/>
            </w:rPr>
            <w:t>une épreuve de personnalité sur base de techniques de sélection adaptées à la fonction;</w:t>
          </w:r>
        </w:p>
        <w:p w14:paraId="7EFF2F35"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sidRPr="00406EBF">
            <w:rPr>
              <w:rFonts w:cstheme="minorHAnsi"/>
              <w:sz w:val="23"/>
              <w:szCs w:val="23"/>
            </w:rPr>
            <w:t>une épreuve d'aptitude physique et médicale avec évaluation des deux composantes dans la perspective de la fonction;</w:t>
          </w:r>
        </w:p>
        <w:p w14:paraId="1EC2EF07"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sidRPr="00406EBF">
            <w:rPr>
              <w:rFonts w:cstheme="minorHAnsi"/>
              <w:sz w:val="23"/>
              <w:szCs w:val="23"/>
            </w:rPr>
            <w:t>un entretien devant la commission de sélection concernée</w:t>
          </w:r>
          <w:r w:rsidR="00093582" w:rsidRPr="00406EBF">
            <w:rPr>
              <w:rStyle w:val="Appelnotedebasdep"/>
              <w:rFonts w:cstheme="minorHAnsi"/>
              <w:sz w:val="23"/>
              <w:szCs w:val="23"/>
            </w:rPr>
            <w:footnoteReference w:id="55"/>
          </w:r>
          <w:r w:rsidRPr="00406EBF">
            <w:rPr>
              <w:rFonts w:cstheme="minorHAnsi"/>
              <w:sz w:val="23"/>
              <w:szCs w:val="23"/>
            </w:rPr>
            <w:t xml:space="preserve">, qui </w:t>
          </w:r>
          <w:r w:rsidR="00136E36" w:rsidRPr="00406EBF">
            <w:rPr>
              <w:rFonts w:cstheme="minorHAnsi"/>
              <w:sz w:val="23"/>
              <w:szCs w:val="23"/>
            </w:rPr>
            <w:t>formule une évaluation finale</w:t>
          </w:r>
          <w:r w:rsidR="0013465E" w:rsidRPr="00406EBF">
            <w:rPr>
              <w:rFonts w:cstheme="minorHAnsi"/>
              <w:sz w:val="23"/>
              <w:szCs w:val="23"/>
            </w:rPr>
            <w:t xml:space="preserve"> et déclare le candidat apte ou non</w:t>
          </w:r>
          <w:r w:rsidRPr="00406EBF">
            <w:rPr>
              <w:rFonts w:cstheme="minorHAnsi"/>
              <w:sz w:val="23"/>
              <w:szCs w:val="23"/>
            </w:rPr>
            <w:t>.</w:t>
          </w:r>
        </w:p>
        <w:p w14:paraId="3758B33D" w14:textId="77777777" w:rsidR="000D13B7" w:rsidRPr="00406EBF" w:rsidRDefault="000D13B7" w:rsidP="000D13B7">
          <w:pPr>
            <w:ind w:left="567"/>
            <w:jc w:val="both"/>
            <w:rPr>
              <w:rFonts w:cstheme="minorHAnsi"/>
              <w:sz w:val="21"/>
              <w:szCs w:val="21"/>
            </w:rPr>
          </w:pPr>
        </w:p>
        <w:p w14:paraId="60E100E0" w14:textId="77777777" w:rsidR="000D13B7" w:rsidRPr="00406EBF" w:rsidRDefault="000D13B7" w:rsidP="00B90AE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épreuves sont en principe ordonnées de manière telle qu’il n’est pas possible de participer à une épreuve sans avoir atteint le seuil minimum fixé pour l’épreuve de sélection précédente.</w:t>
          </w:r>
          <w:r w:rsidR="00B90AE0" w:rsidRPr="00406EBF">
            <w:rPr>
              <w:rFonts w:cstheme="minorHAnsi"/>
              <w:sz w:val="23"/>
              <w:szCs w:val="23"/>
            </w:rPr>
            <w:t xml:space="preserve"> Certaines épreuves physiques sont adaptées afin d’assurer des chances égales aux femmes et aux hommes.</w:t>
          </w:r>
          <w:r w:rsidR="0013465E" w:rsidRPr="00406EBF">
            <w:rPr>
              <w:rFonts w:cstheme="minorHAnsi"/>
              <w:sz w:val="23"/>
              <w:szCs w:val="23"/>
            </w:rPr>
            <w:t xml:space="preserve"> Le candidat qui a été déclaré apte et </w:t>
          </w:r>
          <w:r w:rsidR="00093582" w:rsidRPr="00406EBF">
            <w:rPr>
              <w:rFonts w:cstheme="minorHAnsi"/>
              <w:sz w:val="23"/>
              <w:szCs w:val="23"/>
            </w:rPr>
            <w:t>remplit les conditions d’admission (notamment « être de conduite irréprochable », voir ci-dessous) est admis à la formation de base.</w:t>
          </w:r>
        </w:p>
        <w:p w14:paraId="32EB89C9" w14:textId="77777777" w:rsidR="000D13B7" w:rsidRPr="00406EBF" w:rsidRDefault="000D13B7" w:rsidP="00B90AE0">
          <w:pPr>
            <w:tabs>
              <w:tab w:val="left" w:pos="709"/>
            </w:tabs>
            <w:spacing w:line="240" w:lineRule="auto"/>
            <w:jc w:val="both"/>
            <w:rPr>
              <w:rFonts w:cstheme="minorHAnsi"/>
              <w:sz w:val="23"/>
              <w:szCs w:val="23"/>
            </w:rPr>
          </w:pPr>
        </w:p>
        <w:p w14:paraId="1111B9E4" w14:textId="1C1D4182" w:rsidR="009720D9" w:rsidRPr="00406EBF" w:rsidRDefault="009720D9" w:rsidP="00A1119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promotion au cadre supérieur (cadre moyen ou cadre d’officiers)</w:t>
          </w:r>
          <w:r w:rsidR="00C924BB" w:rsidRPr="00406EBF">
            <w:rPr>
              <w:rFonts w:cstheme="minorHAnsi"/>
              <w:sz w:val="23"/>
              <w:szCs w:val="23"/>
            </w:rPr>
            <w:t xml:space="preserve"> se fait sous la forme d’un concours, à l’issue duquel les candidats sont classés par rôle linguistique dans l’ordre des résultats obtenus. </w:t>
          </w:r>
          <w:r w:rsidRPr="00406EBF">
            <w:rPr>
              <w:rFonts w:cstheme="minorHAnsi"/>
              <w:sz w:val="23"/>
              <w:szCs w:val="23"/>
            </w:rPr>
            <w:t xml:space="preserve">La commission de </w:t>
          </w:r>
          <w:r w:rsidR="009B0FB6" w:rsidRPr="00406EBF">
            <w:rPr>
              <w:rFonts w:cstheme="minorHAnsi"/>
              <w:sz w:val="23"/>
              <w:szCs w:val="23"/>
            </w:rPr>
            <w:t>sélection</w:t>
          </w:r>
          <w:r w:rsidRPr="00406EBF">
            <w:rPr>
              <w:rFonts w:cstheme="minorHAnsi"/>
              <w:sz w:val="23"/>
              <w:szCs w:val="23"/>
            </w:rPr>
            <w:t xml:space="preserve"> répartit les candidats sur base du concours en trois groupes: “très apte”, “apte” et “inapte”. Si le nombre de candidats fixé par le ministre pour le cadre moyen ou le cadre d’officiers est atteint dans le groupe “très apte”, la commission clôture le concours. </w:t>
          </w:r>
          <w:r w:rsidR="009B0FB6" w:rsidRPr="00406EBF">
            <w:rPr>
              <w:rFonts w:cstheme="minorHAnsi"/>
              <w:sz w:val="23"/>
              <w:szCs w:val="23"/>
            </w:rPr>
            <w:t>Elle</w:t>
          </w:r>
          <w:r w:rsidRPr="00406EBF">
            <w:rPr>
              <w:rFonts w:cstheme="minorHAnsi"/>
              <w:sz w:val="23"/>
              <w:szCs w:val="23"/>
            </w:rPr>
            <w:t xml:space="preserve"> établit la liste par ordre alphabétique des membres du personnel qui ont réussi </w:t>
          </w:r>
          <w:r w:rsidRPr="00406EBF">
            <w:rPr>
              <w:rFonts w:cstheme="minorHAnsi"/>
              <w:sz w:val="23"/>
              <w:szCs w:val="23"/>
            </w:rPr>
            <w:lastRenderedPageBreak/>
            <w:t>et qui se sont classés en ordre utile.</w:t>
          </w:r>
          <w:r w:rsidR="009B0FB6" w:rsidRPr="00406EBF">
            <w:rPr>
              <w:rFonts w:cstheme="minorHAnsi"/>
              <w:sz w:val="23"/>
              <w:szCs w:val="23"/>
            </w:rPr>
            <w:t xml:space="preserve"> Cette liste n’est pas publique. Les candidats malheureux peuvent intenter un recours en suspension ou en annulation devant le Conseil d’Etat. </w:t>
          </w:r>
        </w:p>
        <w:p w14:paraId="70151972" w14:textId="77777777" w:rsidR="009720D9" w:rsidRPr="00406EBF" w:rsidRDefault="009720D9" w:rsidP="009720D9">
          <w:pPr>
            <w:pStyle w:val="Paragraphedeliste"/>
            <w:rPr>
              <w:rFonts w:cstheme="minorHAnsi"/>
              <w:sz w:val="23"/>
              <w:szCs w:val="23"/>
            </w:rPr>
          </w:pPr>
        </w:p>
        <w:p w14:paraId="747E1E66" w14:textId="77777777" w:rsidR="007C7C7C" w:rsidRPr="00406EBF" w:rsidRDefault="009720D9" w:rsidP="00A1119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L’intégrité des candidats externe</w:t>
          </w:r>
          <w:r w:rsidR="00C702A0" w:rsidRPr="00406EBF">
            <w:rPr>
              <w:rFonts w:cstheme="minorHAnsi"/>
              <w:sz w:val="23"/>
              <w:szCs w:val="23"/>
            </w:rPr>
            <w:t>s</w:t>
          </w:r>
          <w:r w:rsidRPr="00406EBF">
            <w:rPr>
              <w:rFonts w:cstheme="minorHAnsi"/>
              <w:sz w:val="23"/>
              <w:szCs w:val="23"/>
            </w:rPr>
            <w:t xml:space="preserve"> est vérifiée sur la base de la loi du 26 avril 2002 relative aux </w:t>
          </w:r>
          <w:r w:rsidR="007C7C7C" w:rsidRPr="00406EBF">
            <w:rPr>
              <w:rFonts w:cstheme="minorHAnsi"/>
              <w:sz w:val="23"/>
              <w:szCs w:val="23"/>
            </w:rPr>
            <w:t>éléments essentiels du statut des membres du personnel des services de police et portant diverses autres dispositions relatives aux services de police.</w:t>
          </w:r>
          <w:r w:rsidR="009B0FB6" w:rsidRPr="00406EBF">
            <w:rPr>
              <w:rFonts w:cstheme="minorHAnsi"/>
              <w:sz w:val="23"/>
              <w:szCs w:val="23"/>
            </w:rPr>
            <w:t xml:space="preserve"> </w:t>
          </w:r>
          <w:r w:rsidR="007C7C7C" w:rsidRPr="00406EBF">
            <w:rPr>
              <w:rFonts w:cstheme="minorHAnsi"/>
              <w:sz w:val="23"/>
              <w:szCs w:val="23"/>
            </w:rPr>
            <w:t xml:space="preserve">Les conditions visées </w:t>
          </w:r>
          <w:r w:rsidR="007F2679" w:rsidRPr="00406EBF">
            <w:rPr>
              <w:rFonts w:cstheme="minorHAnsi"/>
              <w:sz w:val="23"/>
              <w:szCs w:val="23"/>
            </w:rPr>
            <w:t>découlent :</w:t>
          </w:r>
        </w:p>
        <w:p w14:paraId="25613627" w14:textId="77777777" w:rsidR="007C7C7C" w:rsidRPr="00406EBF" w:rsidRDefault="007C7C7C" w:rsidP="007C7C7C">
          <w:pPr>
            <w:ind w:left="567"/>
            <w:rPr>
              <w:rFonts w:cstheme="minorHAnsi"/>
              <w:bCs/>
              <w:color w:val="000000"/>
              <w:sz w:val="21"/>
              <w:szCs w:val="21"/>
              <w:lang w:val="fr-BE"/>
            </w:rPr>
          </w:pPr>
        </w:p>
        <w:p w14:paraId="1D673CD4" w14:textId="77777777" w:rsidR="007C7C7C" w:rsidRPr="007F2679" w:rsidRDefault="007C7C7C" w:rsidP="007C0560">
          <w:pPr>
            <w:pStyle w:val="Paragraphedeliste"/>
            <w:numPr>
              <w:ilvl w:val="0"/>
              <w:numId w:val="42"/>
            </w:numPr>
            <w:rPr>
              <w:rFonts w:cstheme="minorHAnsi"/>
              <w:bCs/>
              <w:color w:val="000000"/>
              <w:sz w:val="23"/>
              <w:szCs w:val="23"/>
              <w:lang w:val="fr-BE"/>
            </w:rPr>
          </w:pPr>
          <w:r w:rsidRPr="007F2679">
            <w:rPr>
              <w:rFonts w:cstheme="minorHAnsi"/>
              <w:bCs/>
              <w:color w:val="000000"/>
              <w:sz w:val="23"/>
              <w:szCs w:val="23"/>
              <w:lang w:val="fr-BE"/>
            </w:rPr>
            <w:t>d'une copie certifiée conforme du casier judiciaire complet datant de moins de trois mois à la date d'introduction de la candidature;</w:t>
          </w:r>
          <w:r w:rsidRPr="007F2679">
            <w:rPr>
              <w:rFonts w:cstheme="minorHAnsi"/>
              <w:bCs/>
              <w:color w:val="000000"/>
              <w:sz w:val="23"/>
              <w:szCs w:val="23"/>
              <w:lang w:val="fr-BE"/>
            </w:rPr>
            <w:br/>
            <w:t>b) d'une enquête de milieu et des antécédents, comprenant notamment un entretien avec le candidat au domicile ou au lieu de résidence éventuel de celui-ci, diligentée par le corps de police locale;</w:t>
          </w:r>
          <w:r w:rsidRPr="007F2679">
            <w:rPr>
              <w:rFonts w:cstheme="minorHAnsi"/>
              <w:bCs/>
              <w:color w:val="000000"/>
              <w:sz w:val="23"/>
              <w:szCs w:val="23"/>
              <w:lang w:val="fr-BE"/>
            </w:rPr>
            <w:br/>
            <w:t>c) de toutes les informations disponibles transmises par les services de renseignement et de sécurité et par l'Organe de coordination pour l'analyse de la menace (OCAM);</w:t>
          </w:r>
          <w:r w:rsidRPr="007F2679">
            <w:rPr>
              <w:rFonts w:cstheme="minorHAnsi"/>
              <w:bCs/>
              <w:color w:val="000000"/>
              <w:sz w:val="23"/>
              <w:szCs w:val="23"/>
              <w:lang w:val="fr-BE"/>
            </w:rPr>
            <w:br/>
            <w:t>d) de toutes les informations disponibles relatives aux sanctions administratives communales imposées pour une infraction mixte;</w:t>
          </w:r>
          <w:r w:rsidRPr="007F2679">
            <w:rPr>
              <w:rFonts w:cstheme="minorHAnsi"/>
              <w:bCs/>
              <w:color w:val="000000"/>
              <w:sz w:val="23"/>
              <w:szCs w:val="23"/>
              <w:lang w:val="fr-BE"/>
            </w:rPr>
            <w:br/>
            <w:t>e) des données judiciaires, communiquées par les services de police, moyennant autorisation des autorités judiciaires compétentes;</w:t>
          </w:r>
          <w:r w:rsidRPr="007F2679">
            <w:rPr>
              <w:rFonts w:cstheme="minorHAnsi"/>
              <w:bCs/>
              <w:color w:val="000000"/>
              <w:sz w:val="23"/>
              <w:szCs w:val="23"/>
              <w:lang w:val="fr-BE"/>
            </w:rPr>
            <w:br/>
            <w:t>f) des autres données et informations validées dont disposent les services de police.</w:t>
          </w:r>
        </w:p>
        <w:p w14:paraId="1C954F82" w14:textId="77777777" w:rsidR="007C0560" w:rsidRPr="00406EBF" w:rsidRDefault="007C0560" w:rsidP="007C0560">
          <w:pPr>
            <w:rPr>
              <w:rFonts w:cstheme="minorHAnsi"/>
              <w:bCs/>
              <w:color w:val="000000"/>
              <w:sz w:val="21"/>
              <w:szCs w:val="21"/>
              <w:lang w:val="fr-BE"/>
            </w:rPr>
          </w:pPr>
        </w:p>
        <w:p w14:paraId="2717F470" w14:textId="47CC4E20" w:rsidR="007C0560" w:rsidRPr="00406EBF" w:rsidRDefault="007C0560" w:rsidP="007C056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lang w:val="fr-BE"/>
            </w:rPr>
            <w:t>D’après les informations recueillies par l’EEG, le contrôle d’intégrité réalisé lors de l’entrée dans la police est sérieux</w:t>
          </w:r>
          <w:r w:rsidR="001F6DD9" w:rsidRPr="00406EBF">
            <w:rPr>
              <w:rFonts w:cstheme="minorHAnsi"/>
              <w:sz w:val="23"/>
              <w:szCs w:val="23"/>
              <w:lang w:val="fr-BE"/>
            </w:rPr>
            <w:t xml:space="preserve"> et complet</w:t>
          </w:r>
          <w:r w:rsidRPr="00406EBF">
            <w:rPr>
              <w:rFonts w:cstheme="minorHAnsi"/>
              <w:sz w:val="23"/>
              <w:szCs w:val="23"/>
              <w:lang w:val="fr-BE"/>
            </w:rPr>
            <w:t xml:space="preserve">. </w:t>
          </w:r>
          <w:r w:rsidR="001F6DD9" w:rsidRPr="00406EBF">
            <w:rPr>
              <w:rFonts w:cstheme="minorHAnsi"/>
              <w:sz w:val="23"/>
              <w:szCs w:val="23"/>
              <w:lang w:val="fr-BE"/>
            </w:rPr>
            <w:t xml:space="preserve">Par contre, aucune vérification de l’intégrité des membres de la police n’est réalisée au cours de la carrière. Il s’agit là, selon l’EEG, d’une lacune sérieuse, car des facteurs de risques non présents lors de l’entrée dans la police peuvent apparaître par la suite dans le cadre du travail quotidien du policier ou suite à l’évolution de ses circonstances personnelles. Il est important que ces risques soient pris en compte, </w:t>
          </w:r>
          <w:r w:rsidR="001F6DD9" w:rsidRPr="00406EBF">
            <w:rPr>
              <w:rFonts w:cstheme="minorHAnsi"/>
              <w:i/>
              <w:sz w:val="23"/>
              <w:szCs w:val="23"/>
              <w:lang w:val="fr-BE"/>
            </w:rPr>
            <w:t>a fortiori</w:t>
          </w:r>
          <w:r w:rsidR="001F6DD9" w:rsidRPr="00406EBF">
            <w:rPr>
              <w:rFonts w:cstheme="minorHAnsi"/>
              <w:sz w:val="23"/>
              <w:szCs w:val="23"/>
              <w:lang w:val="fr-BE"/>
            </w:rPr>
            <w:t xml:space="preserve"> lors du recrutement à certains postes sensibles, </w:t>
          </w:r>
          <w:r w:rsidR="00BB056D" w:rsidRPr="00406EBF">
            <w:rPr>
              <w:rFonts w:cstheme="minorHAnsi"/>
              <w:sz w:val="23"/>
              <w:szCs w:val="23"/>
              <w:lang w:val="fr-BE"/>
            </w:rPr>
            <w:t xml:space="preserve">comme ceux au sein de l’Office central de lutte contre la corruption (OCRC) ou de l’Inspection générale (AIG), par exemple. C’est pourquoi </w:t>
          </w:r>
          <w:r w:rsidR="00BB056D" w:rsidRPr="00406EBF">
            <w:rPr>
              <w:rFonts w:cstheme="minorHAnsi"/>
              <w:b/>
              <w:sz w:val="23"/>
              <w:szCs w:val="23"/>
              <w:lang w:val="fr-BE"/>
            </w:rPr>
            <w:t xml:space="preserve">le GRECO recommande </w:t>
          </w:r>
          <w:bookmarkStart w:id="128" w:name="_Hlk26528813"/>
          <w:r w:rsidR="00BB056D" w:rsidRPr="00406EBF">
            <w:rPr>
              <w:rFonts w:cstheme="minorHAnsi"/>
              <w:b/>
              <w:sz w:val="23"/>
              <w:szCs w:val="23"/>
              <w:lang w:val="fr-BE"/>
            </w:rPr>
            <w:t>qu’un contrôle d’intégrité des candidats soit mis en place dans le cadre de la</w:t>
          </w:r>
          <w:r w:rsidR="008E2B2C" w:rsidRPr="00406EBF">
            <w:rPr>
              <w:rFonts w:cstheme="minorHAnsi"/>
              <w:b/>
              <w:sz w:val="23"/>
              <w:szCs w:val="23"/>
              <w:lang w:val="fr-BE"/>
            </w:rPr>
            <w:t xml:space="preserve"> mobilité et de la</w:t>
          </w:r>
          <w:r w:rsidR="00BB056D" w:rsidRPr="00406EBF">
            <w:rPr>
              <w:rFonts w:cstheme="minorHAnsi"/>
              <w:b/>
              <w:sz w:val="23"/>
              <w:szCs w:val="23"/>
              <w:lang w:val="fr-BE"/>
            </w:rPr>
            <w:t xml:space="preserve"> promotion</w:t>
          </w:r>
          <w:r w:rsidR="008E2B2C" w:rsidRPr="00406EBF">
            <w:rPr>
              <w:rFonts w:cstheme="minorHAnsi"/>
              <w:b/>
              <w:sz w:val="23"/>
              <w:szCs w:val="23"/>
              <w:lang w:val="fr-BE"/>
            </w:rPr>
            <w:t xml:space="preserve"> – y compris vers des fonctions à mandat – </w:t>
          </w:r>
          <w:r w:rsidR="00A34579">
            <w:rPr>
              <w:rFonts w:cstheme="minorHAnsi"/>
              <w:b/>
              <w:sz w:val="23"/>
              <w:szCs w:val="23"/>
              <w:lang w:val="fr-BE"/>
            </w:rPr>
            <w:t>ainsi qu’</w:t>
          </w:r>
          <w:r w:rsidR="00BB056D" w:rsidRPr="00406EBF">
            <w:rPr>
              <w:rFonts w:cstheme="minorHAnsi"/>
              <w:b/>
              <w:sz w:val="23"/>
              <w:szCs w:val="23"/>
              <w:lang w:val="fr-BE"/>
            </w:rPr>
            <w:t>à intervalles réguliers au cours de la carrière</w:t>
          </w:r>
          <w:bookmarkEnd w:id="128"/>
          <w:r w:rsidR="00BB056D" w:rsidRPr="00406EBF">
            <w:rPr>
              <w:rFonts w:cstheme="minorHAnsi"/>
              <w:b/>
              <w:sz w:val="23"/>
              <w:szCs w:val="23"/>
              <w:lang w:val="fr-BE"/>
            </w:rPr>
            <w:t>.</w:t>
          </w:r>
          <w:r w:rsidR="008E2B2C" w:rsidRPr="00406EBF">
            <w:rPr>
              <w:rFonts w:cstheme="minorHAnsi"/>
              <w:sz w:val="23"/>
              <w:szCs w:val="23"/>
              <w:lang w:val="fr-BE"/>
            </w:rPr>
            <w:t xml:space="preserve"> Ce contrôle suppose un accès aux bases de données pertinentes (voir à ce sujet le </w:t>
          </w:r>
          <w:r w:rsidR="008E2B2C" w:rsidRPr="004409F8">
            <w:rPr>
              <w:rFonts w:cstheme="minorHAnsi"/>
              <w:sz w:val="23"/>
              <w:szCs w:val="23"/>
              <w:lang w:val="fr-BE"/>
            </w:rPr>
            <w:t xml:space="preserve">paragraphe </w:t>
          </w:r>
          <w:r w:rsidR="007F2679" w:rsidRPr="004409F8">
            <w:rPr>
              <w:rFonts w:cstheme="minorHAnsi"/>
              <w:sz w:val="23"/>
              <w:szCs w:val="23"/>
              <w:lang w:val="fr-BE"/>
            </w:rPr>
            <w:t>21</w:t>
          </w:r>
          <w:r w:rsidR="0019274D" w:rsidRPr="004409F8">
            <w:rPr>
              <w:rFonts w:cstheme="minorHAnsi"/>
              <w:sz w:val="23"/>
              <w:szCs w:val="23"/>
              <w:lang w:val="fr-BE"/>
            </w:rPr>
            <w:t>5</w:t>
          </w:r>
          <w:r w:rsidR="008E2B2C" w:rsidRPr="004409F8">
            <w:rPr>
              <w:rFonts w:cstheme="minorHAnsi"/>
              <w:sz w:val="23"/>
              <w:szCs w:val="23"/>
              <w:lang w:val="fr-BE"/>
            </w:rPr>
            <w:t xml:space="preserve"> ci-dessous</w:t>
          </w:r>
          <w:r w:rsidR="008E2B2C" w:rsidRPr="00406EBF">
            <w:rPr>
              <w:rFonts w:cstheme="minorHAnsi"/>
              <w:sz w:val="23"/>
              <w:szCs w:val="23"/>
              <w:lang w:val="fr-BE"/>
            </w:rPr>
            <w:t xml:space="preserve">). </w:t>
          </w:r>
        </w:p>
        <w:p w14:paraId="5D0927BB" w14:textId="77777777" w:rsidR="007C0560" w:rsidRPr="00406EBF" w:rsidRDefault="007C0560" w:rsidP="007C0560">
          <w:pPr>
            <w:rPr>
              <w:rFonts w:cstheme="minorHAnsi"/>
              <w:bCs/>
              <w:color w:val="000000"/>
              <w:sz w:val="21"/>
              <w:szCs w:val="21"/>
              <w:lang w:val="fr-BE"/>
            </w:rPr>
          </w:pPr>
        </w:p>
        <w:p w14:paraId="43460FDE"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29" w:name="_Toc2777421"/>
          <w:bookmarkStart w:id="130" w:name="_Toc21339594"/>
          <w:r w:rsidRPr="00406EBF">
            <w:rPr>
              <w:rFonts w:asciiTheme="minorHAnsi" w:hAnsiTheme="minorHAnsi" w:cstheme="minorHAnsi"/>
              <w:b w:val="0"/>
              <w:i/>
              <w:color w:val="auto"/>
              <w:sz w:val="23"/>
              <w:szCs w:val="23"/>
            </w:rPr>
            <w:t>Évaluation des performances</w:t>
          </w:r>
          <w:bookmarkEnd w:id="129"/>
          <w:bookmarkEnd w:id="130"/>
        </w:p>
        <w:p w14:paraId="71DB96CE" w14:textId="77777777" w:rsidR="007C316A" w:rsidRPr="00406EBF" w:rsidRDefault="007C316A" w:rsidP="001878CC">
          <w:pPr>
            <w:spacing w:line="240" w:lineRule="auto"/>
            <w:jc w:val="both"/>
            <w:rPr>
              <w:rFonts w:cstheme="minorHAnsi"/>
              <w:sz w:val="23"/>
              <w:szCs w:val="23"/>
            </w:rPr>
          </w:pPr>
        </w:p>
        <w:p w14:paraId="103550E7" w14:textId="77777777" w:rsidR="00417D71" w:rsidRPr="00406EBF" w:rsidRDefault="00417D71"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Une évaluation a lieu tous les 2 ans et vise :</w:t>
          </w:r>
        </w:p>
        <w:p w14:paraId="686D6F54" w14:textId="77777777" w:rsidR="00417D71" w:rsidRPr="00406EBF" w:rsidRDefault="00417D71" w:rsidP="00417D71">
          <w:pPr>
            <w:numPr>
              <w:ilvl w:val="1"/>
              <w:numId w:val="1"/>
            </w:numPr>
            <w:tabs>
              <w:tab w:val="left" w:pos="709"/>
            </w:tabs>
            <w:spacing w:line="240" w:lineRule="auto"/>
            <w:jc w:val="both"/>
            <w:rPr>
              <w:rFonts w:cstheme="minorHAnsi"/>
              <w:sz w:val="23"/>
              <w:szCs w:val="23"/>
            </w:rPr>
          </w:pPr>
          <w:r w:rsidRPr="00406EBF">
            <w:rPr>
              <w:rFonts w:cstheme="minorHAnsi"/>
              <w:sz w:val="23"/>
              <w:szCs w:val="23"/>
            </w:rPr>
            <w:t>l’adéquation au profil de compétences de la fonction exercée ;</w:t>
          </w:r>
        </w:p>
        <w:p w14:paraId="4954D94F" w14:textId="77777777" w:rsidR="00417D71" w:rsidRPr="00406EBF" w:rsidRDefault="00417D71" w:rsidP="00417D71">
          <w:pPr>
            <w:numPr>
              <w:ilvl w:val="1"/>
              <w:numId w:val="1"/>
            </w:numPr>
            <w:tabs>
              <w:tab w:val="left" w:pos="709"/>
            </w:tabs>
            <w:spacing w:line="240" w:lineRule="auto"/>
            <w:jc w:val="both"/>
            <w:rPr>
              <w:rFonts w:cstheme="minorHAnsi"/>
              <w:sz w:val="23"/>
              <w:szCs w:val="23"/>
            </w:rPr>
          </w:pPr>
          <w:r w:rsidRPr="00406EBF">
            <w:rPr>
              <w:rFonts w:cstheme="minorHAnsi"/>
              <w:sz w:val="23"/>
              <w:szCs w:val="23"/>
            </w:rPr>
            <w:t>l’attitude par rapport aux valeurs de l’organisation ;</w:t>
          </w:r>
        </w:p>
        <w:p w14:paraId="572185D6" w14:textId="77777777" w:rsidR="007C316A" w:rsidRPr="00406EBF" w:rsidRDefault="00417D71" w:rsidP="00417D71">
          <w:pPr>
            <w:numPr>
              <w:ilvl w:val="1"/>
              <w:numId w:val="1"/>
            </w:numPr>
            <w:tabs>
              <w:tab w:val="left" w:pos="709"/>
            </w:tabs>
            <w:spacing w:line="240" w:lineRule="auto"/>
            <w:jc w:val="both"/>
            <w:rPr>
              <w:rFonts w:cstheme="minorHAnsi"/>
              <w:sz w:val="23"/>
              <w:szCs w:val="23"/>
            </w:rPr>
          </w:pPr>
          <w:r w:rsidRPr="00406EBF">
            <w:rPr>
              <w:rFonts w:cstheme="minorHAnsi"/>
              <w:sz w:val="23"/>
              <w:szCs w:val="23"/>
            </w:rPr>
            <w:t>la réalisation d’objectifs.</w:t>
          </w:r>
          <w:r w:rsidR="007C316A" w:rsidRPr="00406EBF">
            <w:rPr>
              <w:rFonts w:cstheme="minorHAnsi"/>
              <w:sz w:val="23"/>
              <w:szCs w:val="23"/>
            </w:rPr>
            <w:t xml:space="preserve"> </w:t>
          </w:r>
        </w:p>
        <w:p w14:paraId="3C18504A" w14:textId="77777777" w:rsidR="007C316A" w:rsidRPr="00406EBF" w:rsidRDefault="007C316A" w:rsidP="001878CC">
          <w:pPr>
            <w:spacing w:line="240" w:lineRule="auto"/>
            <w:jc w:val="both"/>
            <w:rPr>
              <w:rFonts w:cstheme="minorHAnsi"/>
              <w:sz w:val="23"/>
              <w:szCs w:val="23"/>
            </w:rPr>
          </w:pPr>
        </w:p>
        <w:p w14:paraId="0BCCEFCB" w14:textId="77777777" w:rsidR="007C316A" w:rsidRPr="00406EBF" w:rsidRDefault="00417D71"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Elle a pour objectif premier le développement des compétences de la personne évaluée. Elle aboutit à une description globale de la personne évaluée et non à une description détaillée de chacun des critères retenus.</w:t>
          </w:r>
        </w:p>
        <w:p w14:paraId="5017E81B" w14:textId="77777777" w:rsidR="00634BFE" w:rsidRPr="00406EBF" w:rsidRDefault="00634BFE" w:rsidP="00634BFE">
          <w:pPr>
            <w:tabs>
              <w:tab w:val="left" w:pos="709"/>
            </w:tabs>
            <w:spacing w:line="240" w:lineRule="auto"/>
            <w:jc w:val="both"/>
            <w:rPr>
              <w:rFonts w:cstheme="minorHAnsi"/>
              <w:sz w:val="23"/>
              <w:szCs w:val="23"/>
            </w:rPr>
          </w:pPr>
        </w:p>
        <w:p w14:paraId="403037D7" w14:textId="77777777" w:rsidR="00634BFE" w:rsidRPr="00406EBF" w:rsidRDefault="00634BFE"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mandataires (Commissaire général, Directeurs généraux, Directeurs Coordinateurs et Directeurs Judiciaires) sont évalués à l’issue de leur mandat de cinq ans par une commission d’évaluation. Si le résultat de l’évaluation est « insuffisant», le mandataire doit quitter son emploi. Si le résultat est « satisfaisant » le mandat est remis en compétition mais le mandataire peut </w:t>
          </w:r>
          <w:r w:rsidRPr="00406EBF">
            <w:rPr>
              <w:rFonts w:cstheme="minorHAnsi"/>
              <w:sz w:val="23"/>
              <w:szCs w:val="23"/>
            </w:rPr>
            <w:lastRenderedPageBreak/>
            <w:t>également se porter candidat. Si le résultat est « bon » le mandat est prolongé pour une nouvelle période de 5 ans.</w:t>
          </w:r>
        </w:p>
        <w:p w14:paraId="14DAF964" w14:textId="77777777" w:rsidR="00E5336C" w:rsidRPr="00406EBF" w:rsidRDefault="00E5336C" w:rsidP="001878CC">
          <w:pPr>
            <w:tabs>
              <w:tab w:val="left" w:pos="709"/>
            </w:tabs>
            <w:spacing w:line="240" w:lineRule="auto"/>
            <w:jc w:val="both"/>
            <w:rPr>
              <w:rFonts w:cstheme="minorHAnsi"/>
              <w:sz w:val="23"/>
              <w:szCs w:val="23"/>
            </w:rPr>
          </w:pPr>
        </w:p>
        <w:p w14:paraId="2F9E3357"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31" w:name="_Toc2777422"/>
          <w:bookmarkStart w:id="132" w:name="_Toc21339595"/>
          <w:r w:rsidRPr="00406EBF">
            <w:rPr>
              <w:rFonts w:asciiTheme="minorHAnsi" w:hAnsiTheme="minorHAnsi" w:cstheme="minorHAnsi"/>
              <w:b w:val="0"/>
              <w:i/>
              <w:color w:val="auto"/>
              <w:sz w:val="23"/>
              <w:szCs w:val="23"/>
            </w:rPr>
            <w:t>Rotation et mobilité</w:t>
          </w:r>
          <w:bookmarkEnd w:id="131"/>
          <w:bookmarkEnd w:id="132"/>
        </w:p>
        <w:p w14:paraId="63246B6B" w14:textId="77777777" w:rsidR="007C316A" w:rsidRPr="00406EBF" w:rsidRDefault="007C316A" w:rsidP="004E5DDF">
          <w:pPr>
            <w:tabs>
              <w:tab w:val="left" w:pos="709"/>
            </w:tabs>
            <w:spacing w:line="240" w:lineRule="auto"/>
            <w:jc w:val="both"/>
            <w:rPr>
              <w:rFonts w:cstheme="minorHAnsi"/>
              <w:sz w:val="23"/>
              <w:szCs w:val="23"/>
            </w:rPr>
          </w:pPr>
        </w:p>
        <w:p w14:paraId="0739C769" w14:textId="2966DC6A" w:rsidR="004E5DDF" w:rsidRPr="00406EBF" w:rsidRDefault="004E5DDF" w:rsidP="004E5DD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rotations se font sur </w:t>
          </w:r>
          <w:r w:rsidR="00FE3DF6">
            <w:rPr>
              <w:rFonts w:cstheme="minorHAnsi"/>
              <w:sz w:val="23"/>
              <w:szCs w:val="23"/>
            </w:rPr>
            <w:t>une</w:t>
          </w:r>
          <w:r w:rsidR="00E569EB" w:rsidRPr="00406EBF">
            <w:rPr>
              <w:rFonts w:cstheme="minorHAnsi"/>
              <w:sz w:val="23"/>
              <w:szCs w:val="23"/>
            </w:rPr>
            <w:t xml:space="preserve"> ba</w:t>
          </w:r>
          <w:r w:rsidRPr="00406EBF">
            <w:rPr>
              <w:rFonts w:cstheme="minorHAnsi"/>
              <w:sz w:val="23"/>
              <w:szCs w:val="23"/>
            </w:rPr>
            <w:t>se volontaire via le système de mobilité</w:t>
          </w:r>
          <w:r w:rsidR="00634BFE" w:rsidRPr="00406EBF">
            <w:rPr>
              <w:rFonts w:cstheme="minorHAnsi"/>
              <w:sz w:val="23"/>
              <w:szCs w:val="23"/>
            </w:rPr>
            <w:t xml:space="preserve"> </w:t>
          </w:r>
          <w:r w:rsidRPr="00406EBF">
            <w:rPr>
              <w:rFonts w:cstheme="minorHAnsi"/>
              <w:sz w:val="23"/>
              <w:szCs w:val="23"/>
            </w:rPr>
            <w:t>dans l</w:t>
          </w:r>
          <w:r w:rsidR="00634BFE" w:rsidRPr="00406EBF">
            <w:rPr>
              <w:rFonts w:cstheme="minorHAnsi"/>
              <w:sz w:val="23"/>
              <w:szCs w:val="23"/>
            </w:rPr>
            <w:t>e</w:t>
          </w:r>
          <w:r w:rsidRPr="00406EBF">
            <w:rPr>
              <w:rFonts w:cstheme="minorHAnsi"/>
              <w:sz w:val="23"/>
              <w:szCs w:val="23"/>
            </w:rPr>
            <w:t>quel tous les emplois, sauf ceux à mandat</w:t>
          </w:r>
          <w:r w:rsidR="00634BFE" w:rsidRPr="00406EBF">
            <w:rPr>
              <w:rFonts w:cstheme="minorHAnsi"/>
              <w:sz w:val="23"/>
              <w:szCs w:val="23"/>
            </w:rPr>
            <w:t>,</w:t>
          </w:r>
          <w:r w:rsidRPr="00406EBF">
            <w:rPr>
              <w:rFonts w:cstheme="minorHAnsi"/>
              <w:sz w:val="23"/>
              <w:szCs w:val="23"/>
            </w:rPr>
            <w:t xml:space="preserve"> sont publiés.</w:t>
          </w:r>
          <w:r w:rsidR="00634BFE" w:rsidRPr="00406EBF">
            <w:rPr>
              <w:rFonts w:cstheme="minorHAnsi"/>
              <w:sz w:val="23"/>
              <w:szCs w:val="23"/>
            </w:rPr>
            <w:t xml:space="preserve"> Des cycles de mobilité sont ouverts cinq fois par an.</w:t>
          </w:r>
        </w:p>
        <w:p w14:paraId="4EA3AAF6" w14:textId="77777777" w:rsidR="004E5DDF" w:rsidRPr="00406EBF" w:rsidRDefault="004E5DDF" w:rsidP="004E5DDF">
          <w:pPr>
            <w:tabs>
              <w:tab w:val="left" w:pos="709"/>
            </w:tabs>
            <w:spacing w:line="240" w:lineRule="auto"/>
            <w:jc w:val="both"/>
            <w:rPr>
              <w:rFonts w:cstheme="minorHAnsi"/>
              <w:sz w:val="23"/>
              <w:szCs w:val="23"/>
            </w:rPr>
          </w:pPr>
        </w:p>
        <w:p w14:paraId="77E27276" w14:textId="77777777" w:rsidR="004E5DDF" w:rsidRPr="00406EBF" w:rsidRDefault="004E5DDF" w:rsidP="004E5DD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Pour un nombre limité d’emplois dans les Unités Spéciales d’intervention</w:t>
          </w:r>
          <w:r w:rsidR="00634BFE" w:rsidRPr="00406EBF">
            <w:rPr>
              <w:rFonts w:cstheme="minorHAnsi"/>
              <w:sz w:val="23"/>
              <w:szCs w:val="23"/>
            </w:rPr>
            <w:t xml:space="preserve">, spécifiquement </w:t>
          </w:r>
          <w:r w:rsidRPr="00406EBF">
            <w:rPr>
              <w:rFonts w:cstheme="minorHAnsi"/>
              <w:sz w:val="23"/>
              <w:szCs w:val="23"/>
            </w:rPr>
            <w:t>les emplois dans la section undercover</w:t>
          </w:r>
          <w:r w:rsidR="00634BFE" w:rsidRPr="00406EBF">
            <w:rPr>
              <w:rFonts w:cstheme="minorHAnsi"/>
              <w:sz w:val="23"/>
              <w:szCs w:val="23"/>
            </w:rPr>
            <w:t xml:space="preserve">, les titulaires sont désignés pour une </w:t>
          </w:r>
          <w:r w:rsidRPr="00406EBF">
            <w:rPr>
              <w:rFonts w:cstheme="minorHAnsi"/>
              <w:sz w:val="23"/>
              <w:szCs w:val="23"/>
            </w:rPr>
            <w:t>période maximale</w:t>
          </w:r>
          <w:r w:rsidR="00634BFE" w:rsidRPr="00406EBF">
            <w:rPr>
              <w:rFonts w:cstheme="minorHAnsi"/>
              <w:sz w:val="23"/>
              <w:szCs w:val="23"/>
            </w:rPr>
            <w:t xml:space="preserve">. A l’issue de cette période, ils ne peuvent à nouveau se porter candidats à un tel emploi pendant une période de cinq ans. </w:t>
          </w:r>
        </w:p>
        <w:p w14:paraId="454E0391" w14:textId="77777777" w:rsidR="00E5336C" w:rsidRPr="00406EBF" w:rsidRDefault="00E5336C" w:rsidP="001878CC">
          <w:pPr>
            <w:tabs>
              <w:tab w:val="left" w:pos="709"/>
            </w:tabs>
            <w:spacing w:line="240" w:lineRule="auto"/>
            <w:jc w:val="both"/>
            <w:rPr>
              <w:rFonts w:cstheme="minorHAnsi"/>
              <w:sz w:val="23"/>
              <w:szCs w:val="23"/>
            </w:rPr>
          </w:pPr>
        </w:p>
        <w:p w14:paraId="5CEB9E53"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33" w:name="_Toc342554307"/>
          <w:bookmarkStart w:id="134" w:name="_Toc342640982"/>
          <w:bookmarkStart w:id="135" w:name="_Toc2777423"/>
          <w:bookmarkStart w:id="136" w:name="_Toc21339596"/>
          <w:r w:rsidRPr="00406EBF">
            <w:rPr>
              <w:rFonts w:asciiTheme="minorHAnsi" w:hAnsiTheme="minorHAnsi" w:cstheme="minorHAnsi"/>
              <w:b w:val="0"/>
              <w:i/>
              <w:color w:val="auto"/>
              <w:sz w:val="23"/>
              <w:szCs w:val="23"/>
            </w:rPr>
            <w:t xml:space="preserve">Cessation des fonctions et </w:t>
          </w:r>
          <w:bookmarkEnd w:id="133"/>
          <w:bookmarkEnd w:id="134"/>
          <w:r w:rsidRPr="00406EBF">
            <w:rPr>
              <w:rFonts w:asciiTheme="minorHAnsi" w:hAnsiTheme="minorHAnsi" w:cstheme="minorHAnsi"/>
              <w:b w:val="0"/>
              <w:i/>
              <w:color w:val="auto"/>
              <w:sz w:val="23"/>
              <w:szCs w:val="23"/>
            </w:rPr>
            <w:t>révocation</w:t>
          </w:r>
          <w:bookmarkEnd w:id="135"/>
          <w:bookmarkEnd w:id="136"/>
        </w:p>
        <w:p w14:paraId="5625CF63" w14:textId="77777777" w:rsidR="007C316A" w:rsidRPr="00406EBF" w:rsidRDefault="007C316A" w:rsidP="001878CC">
          <w:pPr>
            <w:spacing w:line="240" w:lineRule="auto"/>
            <w:jc w:val="both"/>
            <w:rPr>
              <w:rFonts w:cstheme="minorHAnsi"/>
              <w:sz w:val="23"/>
              <w:szCs w:val="23"/>
            </w:rPr>
          </w:pPr>
        </w:p>
        <w:p w14:paraId="0391DEC3" w14:textId="67F0833C" w:rsidR="004A1D1E" w:rsidRPr="00406EBF" w:rsidRDefault="00951F83" w:rsidP="00A1119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cessation des fonctions résulte </w:t>
          </w:r>
          <w:r w:rsidR="00AF20A9">
            <w:rPr>
              <w:rFonts w:cstheme="minorHAnsi"/>
              <w:sz w:val="23"/>
              <w:szCs w:val="23"/>
            </w:rPr>
            <w:t xml:space="preserve">notamment </w:t>
          </w:r>
          <w:r w:rsidRPr="00406EBF">
            <w:rPr>
              <w:rFonts w:cstheme="minorHAnsi"/>
              <w:sz w:val="23"/>
              <w:szCs w:val="23"/>
            </w:rPr>
            <w:t>de la démission volontaire ou du départ à la retraite</w:t>
          </w:r>
          <w:r w:rsidR="00AF20A9">
            <w:rPr>
              <w:rStyle w:val="Appelnotedebasdep"/>
              <w:rFonts w:cstheme="minorHAnsi"/>
              <w:sz w:val="23"/>
              <w:szCs w:val="23"/>
            </w:rPr>
            <w:footnoteReference w:id="56"/>
          </w:r>
          <w:r w:rsidRPr="00406EBF">
            <w:rPr>
              <w:rFonts w:cstheme="minorHAnsi"/>
              <w:sz w:val="23"/>
              <w:szCs w:val="23"/>
            </w:rPr>
            <w:t>. En outre, l</w:t>
          </w:r>
          <w:r w:rsidR="004A1D1E" w:rsidRPr="00406EBF">
            <w:rPr>
              <w:rFonts w:cstheme="minorHAnsi"/>
              <w:sz w:val="23"/>
              <w:szCs w:val="23"/>
            </w:rPr>
            <w:t>e statut de la police connait</w:t>
          </w:r>
          <w:r w:rsidR="00E44B2C">
            <w:rPr>
              <w:rFonts w:cstheme="minorHAnsi"/>
              <w:sz w:val="23"/>
              <w:szCs w:val="23"/>
            </w:rPr>
            <w:t xml:space="preserve"> entre autres</w:t>
          </w:r>
          <w:r w:rsidR="004A1D1E" w:rsidRPr="00406EBF">
            <w:rPr>
              <w:rFonts w:cstheme="minorHAnsi"/>
              <w:sz w:val="23"/>
              <w:szCs w:val="23"/>
            </w:rPr>
            <w:t xml:space="preserve"> l</w:t>
          </w:r>
          <w:r w:rsidRPr="00406EBF">
            <w:rPr>
              <w:rFonts w:cstheme="minorHAnsi"/>
              <w:sz w:val="23"/>
              <w:szCs w:val="23"/>
            </w:rPr>
            <w:t>es sanctions disciplinaires</w:t>
          </w:r>
          <w:r w:rsidR="004A1D1E" w:rsidRPr="00406EBF">
            <w:rPr>
              <w:rFonts w:cstheme="minorHAnsi"/>
              <w:sz w:val="23"/>
              <w:szCs w:val="23"/>
            </w:rPr>
            <w:t xml:space="preserve"> de la démission d’office (démission avec maintien des droits à une pension de l’Etat) et de la révocation (démission avec perte des droits de pension de l’Etat).</w:t>
          </w:r>
        </w:p>
        <w:p w14:paraId="0E1B917F" w14:textId="342CA2F1" w:rsidR="004A1D1E" w:rsidRPr="00406EBF" w:rsidRDefault="004A1D1E" w:rsidP="004A1D1E">
          <w:pPr>
            <w:tabs>
              <w:tab w:val="left" w:pos="709"/>
            </w:tabs>
            <w:spacing w:line="240" w:lineRule="auto"/>
            <w:jc w:val="both"/>
            <w:rPr>
              <w:rFonts w:cstheme="minorHAnsi"/>
              <w:sz w:val="23"/>
              <w:szCs w:val="23"/>
            </w:rPr>
          </w:pPr>
          <w:r w:rsidRPr="00406EBF">
            <w:rPr>
              <w:rFonts w:cstheme="minorHAnsi"/>
              <w:sz w:val="23"/>
              <w:szCs w:val="23"/>
            </w:rPr>
            <w:br/>
            <w:t xml:space="preserve">Selon le grade, l’autorité qui décide des </w:t>
          </w:r>
          <w:r w:rsidR="001F69EC">
            <w:rPr>
              <w:rFonts w:cstheme="minorHAnsi"/>
              <w:sz w:val="23"/>
              <w:szCs w:val="23"/>
            </w:rPr>
            <w:t xml:space="preserve">sanctions disciplinaires de la démission d’office et de la </w:t>
          </w:r>
          <w:r w:rsidRPr="00406EBF">
            <w:rPr>
              <w:rFonts w:cstheme="minorHAnsi"/>
              <w:sz w:val="23"/>
              <w:szCs w:val="23"/>
            </w:rPr>
            <w:t>révocation est :</w:t>
          </w:r>
        </w:p>
        <w:p w14:paraId="52A96085" w14:textId="77777777" w:rsidR="004A1D1E" w:rsidRPr="00406EBF" w:rsidRDefault="004A1D1E" w:rsidP="004A1D1E">
          <w:pPr>
            <w:tabs>
              <w:tab w:val="left" w:pos="709"/>
            </w:tabs>
            <w:spacing w:line="240" w:lineRule="auto"/>
            <w:jc w:val="both"/>
            <w:rPr>
              <w:rFonts w:cstheme="minorHAnsi"/>
              <w:sz w:val="23"/>
              <w:szCs w:val="23"/>
            </w:rPr>
          </w:pPr>
        </w:p>
        <w:p w14:paraId="46E8AEAD" w14:textId="77777777" w:rsidR="004A1D1E" w:rsidRPr="00406EBF" w:rsidRDefault="004A1D1E" w:rsidP="004A1D1E">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pour les non-officiers et selon le pilier dans lequel se trouve la personne qui est démissionnée, le  Commissaire général ou le Directeur-général concerné, </w:t>
          </w:r>
        </w:p>
        <w:p w14:paraId="6781ECF3" w14:textId="2F73B72B" w:rsidR="004A1D1E" w:rsidRPr="00406EBF" w:rsidRDefault="004A1D1E" w:rsidP="004A1D1E">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pour les officiers : le </w:t>
          </w:r>
          <w:r w:rsidR="001F69EC">
            <w:rPr>
              <w:rFonts w:cstheme="minorHAnsi"/>
              <w:sz w:val="23"/>
              <w:szCs w:val="23"/>
            </w:rPr>
            <w:t>m</w:t>
          </w:r>
          <w:r w:rsidRPr="00406EBF">
            <w:rPr>
              <w:rFonts w:cstheme="minorHAnsi"/>
              <w:sz w:val="23"/>
              <w:szCs w:val="23"/>
            </w:rPr>
            <w:t>inistre</w:t>
          </w:r>
          <w:r w:rsidR="001F69EC">
            <w:rPr>
              <w:rFonts w:cstheme="minorHAnsi"/>
              <w:sz w:val="23"/>
              <w:szCs w:val="23"/>
            </w:rPr>
            <w:t xml:space="preserve"> de l’Intérieur</w:t>
          </w:r>
          <w:r w:rsidRPr="00406EBF">
            <w:rPr>
              <w:rFonts w:cstheme="minorHAnsi"/>
              <w:sz w:val="23"/>
              <w:szCs w:val="23"/>
            </w:rPr>
            <w:t>,</w:t>
          </w:r>
        </w:p>
        <w:p w14:paraId="7E6C18C4" w14:textId="3102844F" w:rsidR="004A1D1E" w:rsidRPr="00406EBF" w:rsidRDefault="004A1D1E" w:rsidP="004A1D1E">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pour les Directeurs-généraux et le Commissaire général : le </w:t>
          </w:r>
          <w:r w:rsidR="001F69EC">
            <w:rPr>
              <w:rFonts w:cstheme="minorHAnsi"/>
              <w:sz w:val="23"/>
              <w:szCs w:val="23"/>
            </w:rPr>
            <w:t>m</w:t>
          </w:r>
          <w:r w:rsidRPr="00406EBF">
            <w:rPr>
              <w:rFonts w:cstheme="minorHAnsi"/>
              <w:sz w:val="23"/>
              <w:szCs w:val="23"/>
            </w:rPr>
            <w:t xml:space="preserve">inistre de l’Intérieur et le </w:t>
          </w:r>
          <w:r w:rsidR="001F69EC">
            <w:rPr>
              <w:rFonts w:cstheme="minorHAnsi"/>
              <w:sz w:val="23"/>
              <w:szCs w:val="23"/>
            </w:rPr>
            <w:t>m</w:t>
          </w:r>
          <w:r w:rsidRPr="00406EBF">
            <w:rPr>
              <w:rFonts w:cstheme="minorHAnsi"/>
              <w:sz w:val="23"/>
              <w:szCs w:val="23"/>
            </w:rPr>
            <w:t xml:space="preserve">inistre de la Justice, agissant conjointement à ce sujet. </w:t>
          </w:r>
        </w:p>
        <w:p w14:paraId="13FF0606" w14:textId="77777777" w:rsidR="00F50404" w:rsidRPr="00406EBF" w:rsidRDefault="00F50404" w:rsidP="001878CC">
          <w:pPr>
            <w:tabs>
              <w:tab w:val="left" w:pos="709"/>
            </w:tabs>
            <w:spacing w:line="240" w:lineRule="auto"/>
            <w:jc w:val="both"/>
            <w:rPr>
              <w:rFonts w:cstheme="minorHAnsi"/>
              <w:sz w:val="23"/>
              <w:szCs w:val="23"/>
            </w:rPr>
          </w:pPr>
        </w:p>
        <w:p w14:paraId="3996E088"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37" w:name="_Toc342554308"/>
          <w:bookmarkStart w:id="138" w:name="_Toc342640983"/>
          <w:bookmarkStart w:id="139" w:name="_Toc2777424"/>
          <w:bookmarkStart w:id="140" w:name="_Toc21339597"/>
          <w:r w:rsidRPr="00406EBF">
            <w:rPr>
              <w:rFonts w:asciiTheme="minorHAnsi" w:hAnsiTheme="minorHAnsi" w:cstheme="minorHAnsi"/>
              <w:b w:val="0"/>
              <w:i/>
              <w:color w:val="auto"/>
              <w:sz w:val="23"/>
              <w:szCs w:val="23"/>
            </w:rPr>
            <w:t xml:space="preserve">Salaire et </w:t>
          </w:r>
          <w:bookmarkEnd w:id="137"/>
          <w:bookmarkEnd w:id="138"/>
          <w:r w:rsidRPr="00406EBF">
            <w:rPr>
              <w:rFonts w:asciiTheme="minorHAnsi" w:hAnsiTheme="minorHAnsi" w:cstheme="minorHAnsi"/>
              <w:b w:val="0"/>
              <w:i/>
              <w:color w:val="auto"/>
              <w:sz w:val="23"/>
              <w:szCs w:val="23"/>
            </w:rPr>
            <w:t>avantages</w:t>
          </w:r>
          <w:bookmarkEnd w:id="139"/>
          <w:bookmarkEnd w:id="140"/>
        </w:p>
        <w:p w14:paraId="6C309EC4" w14:textId="77777777" w:rsidR="00F50404" w:rsidRPr="00406EBF" w:rsidRDefault="00F50404" w:rsidP="001878CC">
          <w:pPr>
            <w:tabs>
              <w:tab w:val="left" w:pos="709"/>
            </w:tabs>
            <w:spacing w:line="240" w:lineRule="auto"/>
            <w:jc w:val="both"/>
            <w:rPr>
              <w:rFonts w:cstheme="minorHAnsi"/>
              <w:sz w:val="23"/>
              <w:szCs w:val="23"/>
            </w:rPr>
          </w:pPr>
        </w:p>
        <w:p w14:paraId="2047AB7C" w14:textId="77777777" w:rsidR="005F4D43" w:rsidRPr="00406EBF" w:rsidRDefault="005F4D43" w:rsidP="005F4D43">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salaires sont fixés en fonction d’une échelle de traitement dépendant du grade (pour les membres du cadre opérationnel) ou du niveau (pour les membres du cadre administratif et logistique, qui ne sont donc en principe pas en contact avec le terrain) de la fonction exercée</w:t>
          </w:r>
          <w:r w:rsidR="009468EE" w:rsidRPr="00406EBF">
            <w:rPr>
              <w:rStyle w:val="Appelnotedebasdep"/>
              <w:rFonts w:cstheme="minorHAnsi"/>
              <w:sz w:val="23"/>
              <w:szCs w:val="23"/>
            </w:rPr>
            <w:footnoteReference w:id="57"/>
          </w:r>
          <w:r w:rsidRPr="00406EBF">
            <w:rPr>
              <w:rFonts w:cstheme="minorHAnsi"/>
              <w:sz w:val="23"/>
              <w:szCs w:val="23"/>
            </w:rPr>
            <w:t xml:space="preserve">. </w:t>
          </w:r>
        </w:p>
        <w:p w14:paraId="788A6546" w14:textId="77777777" w:rsidR="005F4D43" w:rsidRPr="00406EBF" w:rsidRDefault="005F4D43" w:rsidP="005F4D43">
          <w:pPr>
            <w:tabs>
              <w:tab w:val="left" w:pos="709"/>
            </w:tabs>
            <w:spacing w:line="240" w:lineRule="auto"/>
            <w:jc w:val="both"/>
            <w:rPr>
              <w:rFonts w:cstheme="minorHAnsi"/>
              <w:sz w:val="23"/>
              <w:szCs w:val="23"/>
            </w:rPr>
          </w:pPr>
        </w:p>
        <w:p w14:paraId="705C153B" w14:textId="77777777" w:rsidR="005F4D43" w:rsidRPr="00406EBF" w:rsidRDefault="005F4D43" w:rsidP="005F4D43">
          <w:pPr>
            <w:numPr>
              <w:ilvl w:val="0"/>
              <w:numId w:val="1"/>
            </w:numPr>
            <w:tabs>
              <w:tab w:val="left" w:pos="709"/>
            </w:tabs>
            <w:spacing w:line="240" w:lineRule="auto"/>
            <w:ind w:left="0" w:firstLine="0"/>
            <w:jc w:val="both"/>
            <w:rPr>
              <w:rFonts w:cstheme="minorHAnsi"/>
              <w:sz w:val="27"/>
              <w:szCs w:val="27"/>
            </w:rPr>
          </w:pPr>
          <w:r w:rsidRPr="00406EBF">
            <w:rPr>
              <w:rFonts w:cstheme="minorHAnsi"/>
              <w:sz w:val="23"/>
              <w:szCs w:val="23"/>
            </w:rPr>
            <w:t>Au niveau opérationnel, les grades et échelles de traitement y afférentes sont les suivants :</w:t>
          </w:r>
        </w:p>
        <w:p w14:paraId="17A75A5E" w14:textId="77777777" w:rsidR="005F4D43" w:rsidRPr="00406EBF" w:rsidRDefault="005F4D43" w:rsidP="005F4D43">
          <w:pPr>
            <w:ind w:left="567"/>
            <w:jc w:val="both"/>
            <w:rPr>
              <w:rFonts w:cstheme="minorHAnsi"/>
              <w:sz w:val="23"/>
              <w:szCs w:val="23"/>
            </w:rPr>
          </w:pPr>
        </w:p>
        <w:p w14:paraId="0A428B36" w14:textId="77777777" w:rsidR="005F4D43" w:rsidRPr="00406EBF" w:rsidRDefault="005F4D43"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Cadre d’auxiliaire de police (agents et agents de sécurisation) : échelles de traitement HAU1 à HAU3. Le salaire annuel brut non indexé d’un agent de police sans ancienneté est de 14 233,88 €.</w:t>
          </w:r>
        </w:p>
        <w:p w14:paraId="35E35FE6" w14:textId="77777777" w:rsidR="005F4D43" w:rsidRPr="00406EBF" w:rsidRDefault="007F2679" w:rsidP="007F2679">
          <w:pPr>
            <w:numPr>
              <w:ilvl w:val="1"/>
              <w:numId w:val="1"/>
            </w:numPr>
            <w:tabs>
              <w:tab w:val="left" w:pos="709"/>
            </w:tabs>
            <w:spacing w:line="240" w:lineRule="auto"/>
            <w:jc w:val="both"/>
            <w:rPr>
              <w:rFonts w:cstheme="minorHAnsi"/>
              <w:sz w:val="23"/>
              <w:szCs w:val="23"/>
            </w:rPr>
          </w:pPr>
          <w:r>
            <w:rPr>
              <w:rFonts w:cstheme="minorHAnsi"/>
              <w:sz w:val="23"/>
              <w:szCs w:val="23"/>
            </w:rPr>
            <w:t>C</w:t>
          </w:r>
          <w:r w:rsidR="005F4D43" w:rsidRPr="00406EBF">
            <w:rPr>
              <w:rFonts w:cstheme="minorHAnsi"/>
              <w:sz w:val="23"/>
              <w:szCs w:val="23"/>
            </w:rPr>
            <w:t>ad</w:t>
          </w:r>
          <w:r>
            <w:rPr>
              <w:rFonts w:cstheme="minorHAnsi"/>
              <w:sz w:val="23"/>
              <w:szCs w:val="23"/>
            </w:rPr>
            <w:t>r</w:t>
          </w:r>
          <w:r w:rsidR="005F4D43" w:rsidRPr="00406EBF">
            <w:rPr>
              <w:rFonts w:cstheme="minorHAnsi"/>
              <w:sz w:val="23"/>
              <w:szCs w:val="23"/>
            </w:rPr>
            <w:t>e d’assistants de sécurisation de police : échelles de traitement BASP1 à BASP4. Le salaire annuel brut non indexé d’un assistant de sécurisation de police sans ancienneté est de 14 558,01 €.</w:t>
          </w:r>
        </w:p>
        <w:p w14:paraId="6EE2C6C1" w14:textId="77777777" w:rsidR="005F4D43" w:rsidRPr="00406EBF" w:rsidRDefault="005F4D43"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Cadre de base (inspecteurs et assistants de protection) : échelles de traitement B1 à B5. Les aspirants inspecteurs de police issus de la procédure de recrutement </w:t>
          </w:r>
          <w:r w:rsidRPr="00406EBF">
            <w:rPr>
              <w:rFonts w:cstheme="minorHAnsi"/>
              <w:sz w:val="23"/>
              <w:szCs w:val="23"/>
            </w:rPr>
            <w:lastRenderedPageBreak/>
            <w:t>externe (et donc, en début de carrière) bénéficient de l'échelle de traitement HAU1 citée ci-dessus jusqu’à la date de leur nomination. Dès la nomination, l’inspecteur de police reçoit l’échelle de traitement B1, qui commence avec un salaire annuel brut non indexé de 15 518,14 €.</w:t>
          </w:r>
        </w:p>
        <w:p w14:paraId="0CEFCFE7" w14:textId="77777777" w:rsidR="005F4D43" w:rsidRPr="00406EBF" w:rsidRDefault="005F4D43"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Cadre moyen (inspecteurs principaux) : échelles de traitement M1.1 à M4.1. Ces membres du personnel sont cependant uniquement des membres du personnel issus du cadre de base et ayant suivi une procédure de promotion sociale interne. Ils ne sont donc pas en début de carrière et conservent l'échelle de traitement dont ils bénéficiaient le jour précédant leur commissionnement comme aspirant inspecteur principal de police. Une fois nommé, l’inspecteur principal issu du cadre de base reçoit l’échelle de traitement M1.1, qui commence avec un salaire annuel brut non indexé de 17 352,55 €.</w:t>
          </w:r>
        </w:p>
        <w:p w14:paraId="67079912" w14:textId="77777777" w:rsidR="005F4D43" w:rsidRPr="007F2679" w:rsidRDefault="005F4D43" w:rsidP="007F2679">
          <w:pPr>
            <w:numPr>
              <w:ilvl w:val="1"/>
              <w:numId w:val="1"/>
            </w:numPr>
            <w:tabs>
              <w:tab w:val="left" w:pos="709"/>
            </w:tabs>
            <w:spacing w:line="240" w:lineRule="auto"/>
            <w:jc w:val="both"/>
            <w:rPr>
              <w:rFonts w:cstheme="minorHAnsi"/>
              <w:sz w:val="23"/>
              <w:szCs w:val="23"/>
            </w:rPr>
          </w:pPr>
          <w:r w:rsidRPr="007F2679">
            <w:rPr>
              <w:rFonts w:cstheme="minorHAnsi"/>
              <w:sz w:val="23"/>
              <w:szCs w:val="23"/>
            </w:rPr>
            <w:t>Cadre moyen spécialisé (inspecteurs principaux spécialisés) : échelles de traitement M1.2 à M4.2. Le salaire annuel brut non indexé d’un inspecteur principal spécialisé sans ancienneté est de 17 352,55 €.</w:t>
          </w:r>
        </w:p>
        <w:p w14:paraId="298844AC" w14:textId="77777777" w:rsidR="005F4D43" w:rsidRPr="007F2679" w:rsidRDefault="005F4D43" w:rsidP="007F2679">
          <w:pPr>
            <w:numPr>
              <w:ilvl w:val="1"/>
              <w:numId w:val="1"/>
            </w:numPr>
            <w:tabs>
              <w:tab w:val="left" w:pos="709"/>
            </w:tabs>
            <w:spacing w:line="240" w:lineRule="auto"/>
            <w:jc w:val="both"/>
            <w:rPr>
              <w:rFonts w:cstheme="minorHAnsi"/>
              <w:sz w:val="23"/>
              <w:szCs w:val="23"/>
            </w:rPr>
          </w:pPr>
          <w:r w:rsidRPr="007F2679">
            <w:rPr>
              <w:rFonts w:cstheme="minorHAnsi"/>
              <w:sz w:val="23"/>
              <w:szCs w:val="23"/>
            </w:rPr>
            <w:t>Cadre officier (commissaires de police) : échelles de traitement O1 à O4. Les aspirants commissaires de police issus de la procédure de recrutement externe (et donc, en début de carrière) bénéficient de l'échelle de traitement O1, qui commence avec un salaire annuel brut non indexé de 21 090,95 €. Dès la nomination, le commissaire de police reçoit l’échelle de traitement O2, qui commence avec un salaire annuel brut non indexé de 23 797,78 €.</w:t>
          </w:r>
        </w:p>
        <w:p w14:paraId="6BBF3AFF" w14:textId="77777777" w:rsidR="005F4D43" w:rsidRPr="00406EBF" w:rsidRDefault="005F4D43" w:rsidP="005F4D43">
          <w:pPr>
            <w:ind w:left="567"/>
            <w:jc w:val="both"/>
            <w:rPr>
              <w:rFonts w:cstheme="minorHAnsi"/>
              <w:sz w:val="23"/>
              <w:szCs w:val="23"/>
            </w:rPr>
          </w:pPr>
        </w:p>
        <w:p w14:paraId="2247318A" w14:textId="77777777" w:rsidR="005F4D43" w:rsidRPr="00406EBF" w:rsidRDefault="002C7C81" w:rsidP="002C7C81">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Il</w:t>
          </w:r>
          <w:r w:rsidR="005F4D43" w:rsidRPr="00406EBF">
            <w:rPr>
              <w:rFonts w:cstheme="minorHAnsi"/>
              <w:sz w:val="23"/>
              <w:szCs w:val="23"/>
            </w:rPr>
            <w:t xml:space="preserve"> existe des échelles de traitement plus élevées qu’O4</w:t>
          </w:r>
          <w:r w:rsidR="007F2679">
            <w:rPr>
              <w:rFonts w:cstheme="minorHAnsi"/>
              <w:sz w:val="23"/>
              <w:szCs w:val="23"/>
            </w:rPr>
            <w:t>, qui</w:t>
          </w:r>
          <w:r w:rsidR="005F4D43" w:rsidRPr="00406EBF">
            <w:rPr>
              <w:rFonts w:cstheme="minorHAnsi"/>
              <w:sz w:val="23"/>
              <w:szCs w:val="23"/>
            </w:rPr>
            <w:t xml:space="preserve"> ne peuvent être atteintes qu’avec l’expérience. Il s’agit des échelles O5 (minimum 33 961,42 €), O6 (minimum 35 324,83 €), O7 (37 431,93 €) et O8 (41 398,22€).</w:t>
          </w:r>
        </w:p>
        <w:p w14:paraId="20443A00" w14:textId="77777777" w:rsidR="005F4D43" w:rsidRPr="00406EBF" w:rsidRDefault="005F4D43" w:rsidP="005F4D43">
          <w:pPr>
            <w:ind w:left="567"/>
            <w:jc w:val="both"/>
            <w:rPr>
              <w:rFonts w:cstheme="minorHAnsi"/>
              <w:sz w:val="23"/>
              <w:szCs w:val="23"/>
            </w:rPr>
          </w:pPr>
        </w:p>
        <w:p w14:paraId="7471D4AF" w14:textId="77777777" w:rsidR="0057101C" w:rsidRPr="00406EBF" w:rsidRDefault="005F4D43" w:rsidP="009468E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salaire des membres du personnel varie suivant les fonctions exercées, l’ancienneté d’échelle de traitement ainsi que l’ancienneté pécuniaire. Le changement d</w:t>
          </w:r>
          <w:r w:rsidR="002C7C81" w:rsidRPr="00406EBF">
            <w:rPr>
              <w:rFonts w:cstheme="minorHAnsi"/>
              <w:sz w:val="23"/>
              <w:szCs w:val="23"/>
            </w:rPr>
            <w:t>ans</w:t>
          </w:r>
          <w:r w:rsidRPr="00406EBF">
            <w:rPr>
              <w:rFonts w:cstheme="minorHAnsi"/>
              <w:sz w:val="23"/>
              <w:szCs w:val="23"/>
            </w:rPr>
            <w:t xml:space="preserve"> </w:t>
          </w:r>
          <w:r w:rsidR="002C7C81" w:rsidRPr="00406EBF">
            <w:rPr>
              <w:rFonts w:cstheme="minorHAnsi"/>
              <w:sz w:val="23"/>
              <w:szCs w:val="23"/>
            </w:rPr>
            <w:t>l’</w:t>
          </w:r>
          <w:r w:rsidRPr="00406EBF">
            <w:rPr>
              <w:rFonts w:cstheme="minorHAnsi"/>
              <w:sz w:val="23"/>
              <w:szCs w:val="23"/>
            </w:rPr>
            <w:t>échelle de traitement après le nombre d’années d’ancienneté requis dans l’échelle en cours (généralement, 6 ans) dépend aussi d’une évaluation et, parfois, du suivi d’un certain nombre d’heures de formation continue</w:t>
          </w:r>
          <w:r w:rsidR="009468EE" w:rsidRPr="00406EBF">
            <w:rPr>
              <w:rFonts w:cstheme="minorHAnsi"/>
              <w:sz w:val="23"/>
              <w:szCs w:val="23"/>
            </w:rPr>
            <w:t>. Une évaluation portant la mention finale « insuffisant » entrave l’avancement barémique vers l’échelle de traitement supérieure.</w:t>
          </w:r>
        </w:p>
        <w:p w14:paraId="4DF930BD" w14:textId="77777777" w:rsidR="009468EE" w:rsidRPr="00406EBF" w:rsidRDefault="009468EE" w:rsidP="009468EE">
          <w:pPr>
            <w:tabs>
              <w:tab w:val="left" w:pos="709"/>
            </w:tabs>
            <w:spacing w:line="240" w:lineRule="auto"/>
            <w:jc w:val="both"/>
            <w:rPr>
              <w:rFonts w:cstheme="minorHAnsi"/>
              <w:sz w:val="23"/>
              <w:szCs w:val="23"/>
            </w:rPr>
          </w:pPr>
        </w:p>
        <w:p w14:paraId="6BCFA38A" w14:textId="77777777" w:rsidR="009468EE" w:rsidRPr="00406EBF" w:rsidRDefault="009468EE" w:rsidP="009468E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Pour les plus hautes fonctions dirigeantes, une rémunération fonctionnelle a été instaurée par arrêté royal du 5 octobre 2018. Il s’agit des fonctions suivantes :</w:t>
          </w:r>
        </w:p>
        <w:p w14:paraId="17C1E005" w14:textId="77777777" w:rsidR="009468EE" w:rsidRPr="00406EBF" w:rsidRDefault="009468EE" w:rsidP="009468EE">
          <w:pPr>
            <w:pStyle w:val="Paragraphedeliste"/>
            <w:rPr>
              <w:rFonts w:cstheme="minorHAnsi"/>
              <w:sz w:val="23"/>
              <w:szCs w:val="23"/>
            </w:rPr>
          </w:pPr>
        </w:p>
        <w:p w14:paraId="03BBCF1A"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Commissaire général : échelle de traitement O8, avec la base annuelle maximale de l’échelle ;</w:t>
          </w:r>
        </w:p>
        <w:p w14:paraId="5704BD29"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Directeur général : échelle de traitement O8 ;</w:t>
          </w:r>
        </w:p>
        <w:p w14:paraId="6BD9A7E2"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Dirco/DirJud : échelle de traitement O7 (ou O8 si déjà bénéficiaires de l’échelle O7 via carrière barémique) ;</w:t>
          </w:r>
        </w:p>
        <w:p w14:paraId="180A68B6"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Directeur d’un Service Central : échelle de traitement O7 (ou O8 si déjà bénéficiaires de l’échelle O7 via carrière barémique) ;</w:t>
          </w:r>
        </w:p>
        <w:p w14:paraId="625FDF43"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Directeur général du SAT Intérieur : échelle de traitement O8 ;</w:t>
          </w:r>
        </w:p>
        <w:p w14:paraId="130502AE"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Directeur général du SAT Justice : échelle de traitement O8 ;</w:t>
          </w:r>
        </w:p>
        <w:p w14:paraId="424491EC"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Inspecteur général de l’AIG : 73 185,81 € (base annuelle non indexée) ;</w:t>
          </w:r>
        </w:p>
        <w:p w14:paraId="5B9ED3DD"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Inspecteur général adjoint de l’AIG : 65 508,80 € (base annuelle non indexée) ;</w:t>
          </w:r>
        </w:p>
        <w:p w14:paraId="7732A9E9" w14:textId="0256F4D9"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Directeur général du </w:t>
          </w:r>
          <w:r w:rsidR="00E44B2C">
            <w:rPr>
              <w:rFonts w:cstheme="minorHAnsi"/>
              <w:sz w:val="23"/>
              <w:szCs w:val="23"/>
            </w:rPr>
            <w:t xml:space="preserve">Service d’enquêtes du </w:t>
          </w:r>
          <w:r w:rsidRPr="00406EBF">
            <w:rPr>
              <w:rFonts w:cstheme="minorHAnsi"/>
              <w:sz w:val="23"/>
              <w:szCs w:val="23"/>
            </w:rPr>
            <w:t>Comité P : échelle de traitement 08 ;</w:t>
          </w:r>
        </w:p>
        <w:p w14:paraId="6DAD4DAC" w14:textId="62FC185F" w:rsidR="00460C99" w:rsidRPr="00406EBF" w:rsidRDefault="00460C99" w:rsidP="007F2679">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Directeur général adjoint du </w:t>
          </w:r>
          <w:r w:rsidR="00E44B2C">
            <w:rPr>
              <w:rFonts w:cstheme="minorHAnsi"/>
              <w:sz w:val="23"/>
              <w:szCs w:val="23"/>
            </w:rPr>
            <w:t xml:space="preserve">Service d’enquêtes du </w:t>
          </w:r>
          <w:r w:rsidRPr="00406EBF">
            <w:rPr>
              <w:rFonts w:cstheme="minorHAnsi"/>
              <w:sz w:val="23"/>
              <w:szCs w:val="23"/>
            </w:rPr>
            <w:t>Comité P : échelle de traitement 07.</w:t>
          </w:r>
        </w:p>
        <w:p w14:paraId="2C89AD68" w14:textId="77777777" w:rsidR="00460C99" w:rsidRPr="00406EBF" w:rsidRDefault="00460C99" w:rsidP="007F2679">
          <w:pPr>
            <w:tabs>
              <w:tab w:val="left" w:pos="709"/>
            </w:tabs>
            <w:spacing w:line="240" w:lineRule="auto"/>
            <w:ind w:left="1080"/>
            <w:jc w:val="both"/>
            <w:rPr>
              <w:rFonts w:cstheme="minorHAnsi"/>
              <w:sz w:val="23"/>
              <w:szCs w:val="23"/>
            </w:rPr>
          </w:pPr>
        </w:p>
        <w:p w14:paraId="38CE343E" w14:textId="77777777" w:rsidR="009468EE" w:rsidRPr="00406EBF" w:rsidRDefault="00460C99" w:rsidP="009468E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Diverses indemnités et allocations</w:t>
          </w:r>
          <w:r w:rsidR="00056D6A" w:rsidRPr="00406EBF">
            <w:rPr>
              <w:rStyle w:val="Appelnotedebasdep"/>
              <w:rFonts w:cstheme="minorHAnsi"/>
              <w:sz w:val="23"/>
              <w:szCs w:val="23"/>
            </w:rPr>
            <w:footnoteReference w:id="58"/>
          </w:r>
          <w:r w:rsidRPr="00406EBF">
            <w:rPr>
              <w:rFonts w:cstheme="minorHAnsi"/>
              <w:sz w:val="23"/>
              <w:szCs w:val="23"/>
            </w:rPr>
            <w:t xml:space="preserve"> peuvent être octroyées aux membres du personnel opérationnel qui en remplissent les conditions, comme l’allocation de foyer, l’allocation de résidence, les indemnités pour prestations nocturnes ou de week-end, </w:t>
          </w:r>
          <w:r w:rsidR="00056D6A" w:rsidRPr="00406EBF">
            <w:rPr>
              <w:rFonts w:cstheme="minorHAnsi"/>
              <w:sz w:val="23"/>
              <w:szCs w:val="23"/>
            </w:rPr>
            <w:t xml:space="preserve">les indemnités kilométriques etc. </w:t>
          </w:r>
          <w:r w:rsidR="002C7C81" w:rsidRPr="00406EBF">
            <w:rPr>
              <w:rFonts w:cstheme="minorHAnsi"/>
              <w:sz w:val="23"/>
              <w:szCs w:val="23"/>
            </w:rPr>
            <w:t>L</w:t>
          </w:r>
          <w:r w:rsidR="00056D6A" w:rsidRPr="00406EBF">
            <w:rPr>
              <w:rFonts w:cstheme="minorHAnsi"/>
              <w:sz w:val="23"/>
              <w:szCs w:val="23"/>
            </w:rPr>
            <w:t xml:space="preserve">e statut de la police </w:t>
          </w:r>
          <w:r w:rsidR="002C7C81" w:rsidRPr="00406EBF">
            <w:rPr>
              <w:rFonts w:cstheme="minorHAnsi"/>
              <w:sz w:val="23"/>
              <w:szCs w:val="23"/>
            </w:rPr>
            <w:t>a été révisé le 1</w:t>
          </w:r>
          <w:r w:rsidR="002C7C81" w:rsidRPr="00406EBF">
            <w:rPr>
              <w:rFonts w:cstheme="minorHAnsi"/>
              <w:sz w:val="23"/>
              <w:szCs w:val="23"/>
              <w:vertAlign w:val="superscript"/>
            </w:rPr>
            <w:t>er</w:t>
          </w:r>
          <w:r w:rsidR="002C7C81" w:rsidRPr="00406EBF">
            <w:rPr>
              <w:rFonts w:cstheme="minorHAnsi"/>
              <w:sz w:val="23"/>
              <w:szCs w:val="23"/>
            </w:rPr>
            <w:t xml:space="preserve"> juillet 2019</w:t>
          </w:r>
          <w:r w:rsidR="00056D6A" w:rsidRPr="00406EBF">
            <w:rPr>
              <w:rFonts w:cstheme="minorHAnsi"/>
              <w:sz w:val="23"/>
              <w:szCs w:val="23"/>
            </w:rPr>
            <w:t xml:space="preserve"> et plusieurs allocations et indemnités </w:t>
          </w:r>
          <w:r w:rsidR="002C7C81" w:rsidRPr="00406EBF">
            <w:rPr>
              <w:rFonts w:cstheme="minorHAnsi"/>
              <w:sz w:val="23"/>
              <w:szCs w:val="23"/>
            </w:rPr>
            <w:t>sont en cours</w:t>
          </w:r>
          <w:r w:rsidR="00056D6A" w:rsidRPr="00406EBF">
            <w:rPr>
              <w:rFonts w:cstheme="minorHAnsi"/>
              <w:sz w:val="23"/>
              <w:szCs w:val="23"/>
            </w:rPr>
            <w:t xml:space="preserve"> d’extinction.</w:t>
          </w:r>
        </w:p>
        <w:p w14:paraId="59B6F09C" w14:textId="77777777" w:rsidR="00056D6A" w:rsidRPr="00406EBF" w:rsidRDefault="00056D6A" w:rsidP="00056D6A">
          <w:pPr>
            <w:tabs>
              <w:tab w:val="left" w:pos="709"/>
            </w:tabs>
            <w:spacing w:line="240" w:lineRule="auto"/>
            <w:jc w:val="both"/>
            <w:rPr>
              <w:rFonts w:cstheme="minorHAnsi"/>
              <w:sz w:val="23"/>
              <w:szCs w:val="23"/>
            </w:rPr>
          </w:pPr>
        </w:p>
        <w:p w14:paraId="5A397274" w14:textId="77777777" w:rsidR="00056D6A" w:rsidRPr="00406EBF" w:rsidRDefault="00056D6A" w:rsidP="009468E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Ces allocations et indemnités font l’objet d</w:t>
          </w:r>
          <w:r w:rsidR="002C7C81" w:rsidRPr="00406EBF">
            <w:rPr>
              <w:rFonts w:cstheme="minorHAnsi"/>
              <w:sz w:val="23"/>
              <w:szCs w:val="23"/>
            </w:rPr>
            <w:t>’un</w:t>
          </w:r>
          <w:r w:rsidRPr="00406EBF">
            <w:rPr>
              <w:rFonts w:cstheme="minorHAnsi"/>
              <w:sz w:val="23"/>
              <w:szCs w:val="23"/>
            </w:rPr>
            <w:t xml:space="preserve"> contrôle </w:t>
          </w:r>
          <w:r w:rsidR="00D562DC" w:rsidRPr="00406EBF">
            <w:rPr>
              <w:rFonts w:cstheme="minorHAnsi"/>
              <w:sz w:val="23"/>
              <w:szCs w:val="23"/>
            </w:rPr>
            <w:t xml:space="preserve">par le </w:t>
          </w:r>
          <w:r w:rsidR="002A73EB" w:rsidRPr="00406EBF">
            <w:rPr>
              <w:rFonts w:cstheme="minorHAnsi"/>
              <w:sz w:val="23"/>
              <w:szCs w:val="23"/>
            </w:rPr>
            <w:t>Secrétariat Social de la Police Intégrée</w:t>
          </w:r>
          <w:r w:rsidR="00D562DC" w:rsidRPr="00406EBF">
            <w:rPr>
              <w:rFonts w:cstheme="minorHAnsi"/>
              <w:sz w:val="23"/>
              <w:szCs w:val="23"/>
            </w:rPr>
            <w:t xml:space="preserve">. </w:t>
          </w:r>
        </w:p>
        <w:p w14:paraId="68E8A78D" w14:textId="77777777" w:rsidR="009468EE" w:rsidRPr="00406EBF" w:rsidRDefault="009468EE" w:rsidP="009468EE">
          <w:pPr>
            <w:tabs>
              <w:tab w:val="left" w:pos="709"/>
            </w:tabs>
            <w:spacing w:line="240" w:lineRule="auto"/>
            <w:jc w:val="both"/>
            <w:rPr>
              <w:rFonts w:cstheme="minorHAnsi"/>
              <w:sz w:val="23"/>
              <w:szCs w:val="23"/>
            </w:rPr>
          </w:pPr>
        </w:p>
        <w:p w14:paraId="4070BD24" w14:textId="77777777" w:rsidR="00FF2287" w:rsidRPr="00406EBF" w:rsidRDefault="00FF2287" w:rsidP="001878CC">
          <w:pPr>
            <w:pStyle w:val="Titre2"/>
            <w:tabs>
              <w:tab w:val="left" w:pos="709"/>
            </w:tabs>
            <w:spacing w:before="0" w:line="240" w:lineRule="auto"/>
            <w:rPr>
              <w:rFonts w:asciiTheme="minorHAnsi" w:hAnsiTheme="minorHAnsi"/>
              <w:color w:val="auto"/>
              <w:sz w:val="23"/>
              <w:szCs w:val="23"/>
              <w:u w:val="single"/>
            </w:rPr>
          </w:pPr>
          <w:bookmarkStart w:id="141" w:name="_Toc342554311"/>
          <w:bookmarkStart w:id="142" w:name="_Toc342640986"/>
          <w:bookmarkStart w:id="143" w:name="_Toc2777425"/>
          <w:bookmarkStart w:id="144" w:name="_Toc21339598"/>
          <w:r w:rsidRPr="00406EBF">
            <w:rPr>
              <w:rFonts w:asciiTheme="minorHAnsi" w:hAnsiTheme="minorHAnsi"/>
              <w:color w:val="auto"/>
              <w:sz w:val="23"/>
              <w:szCs w:val="23"/>
              <w:u w:val="single"/>
            </w:rPr>
            <w:t>Conflits d’intér</w:t>
          </w:r>
          <w:bookmarkEnd w:id="141"/>
          <w:bookmarkEnd w:id="142"/>
          <w:r w:rsidRPr="00406EBF">
            <w:rPr>
              <w:rFonts w:asciiTheme="minorHAnsi" w:hAnsiTheme="minorHAnsi"/>
              <w:color w:val="auto"/>
              <w:sz w:val="23"/>
              <w:szCs w:val="23"/>
              <w:u w:val="single"/>
            </w:rPr>
            <w:t>êt</w:t>
          </w:r>
          <w:bookmarkEnd w:id="143"/>
          <w:bookmarkEnd w:id="144"/>
        </w:p>
        <w:p w14:paraId="4014DDA7" w14:textId="77777777" w:rsidR="00E5336C" w:rsidRPr="00406EBF" w:rsidRDefault="00E5336C" w:rsidP="001878CC">
          <w:pPr>
            <w:tabs>
              <w:tab w:val="left" w:pos="709"/>
            </w:tabs>
            <w:spacing w:line="240" w:lineRule="auto"/>
            <w:jc w:val="both"/>
            <w:rPr>
              <w:rFonts w:cstheme="minorHAnsi"/>
              <w:sz w:val="23"/>
              <w:szCs w:val="23"/>
            </w:rPr>
          </w:pPr>
        </w:p>
        <w:p w14:paraId="7B8825C2" w14:textId="77777777" w:rsidR="007C316A" w:rsidRPr="00406EBF" w:rsidRDefault="00103F0F"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Afin de prévenir les conflits d’</w:t>
          </w:r>
          <w:r w:rsidR="00D635CB" w:rsidRPr="00406EBF">
            <w:rPr>
              <w:rFonts w:cstheme="minorHAnsi"/>
              <w:sz w:val="23"/>
              <w:szCs w:val="23"/>
            </w:rPr>
            <w:t>intérêts, l</w:t>
          </w:r>
          <w:r w:rsidR="005E3F5F" w:rsidRPr="00406EBF">
            <w:rPr>
              <w:rFonts w:cstheme="minorHAnsi"/>
              <w:sz w:val="23"/>
              <w:szCs w:val="23"/>
            </w:rPr>
            <w:t xml:space="preserve">es </w:t>
          </w:r>
          <w:r w:rsidR="00D635CB" w:rsidRPr="00406EBF">
            <w:rPr>
              <w:rFonts w:cstheme="minorHAnsi"/>
              <w:sz w:val="23"/>
              <w:szCs w:val="23"/>
            </w:rPr>
            <w:t xml:space="preserve">policiers sont soumis à des </w:t>
          </w:r>
          <w:r w:rsidR="005E3F5F" w:rsidRPr="00406EBF">
            <w:rPr>
              <w:rFonts w:cstheme="minorHAnsi"/>
              <w:sz w:val="23"/>
              <w:szCs w:val="23"/>
            </w:rPr>
            <w:t>règles légales relatives aux incompatibilités et aux activités accessoires (voir ci-dessous).</w:t>
          </w:r>
          <w:r w:rsidR="00873A37" w:rsidRPr="00406EBF">
            <w:rPr>
              <w:rFonts w:cstheme="minorHAnsi"/>
              <w:sz w:val="23"/>
              <w:szCs w:val="23"/>
            </w:rPr>
            <w:t xml:space="preserve"> L’article 127 de la loi </w:t>
          </w:r>
          <w:r w:rsidR="000310FE" w:rsidRPr="00406EBF">
            <w:rPr>
              <w:rFonts w:cstheme="minorHAnsi"/>
              <w:sz w:val="23"/>
              <w:szCs w:val="23"/>
            </w:rPr>
            <w:t xml:space="preserve">du 7 décembre 1998 organisant un service de police intégré, structuré à deux niveaux </w:t>
          </w:r>
          <w:r w:rsidR="00873A37" w:rsidRPr="00406EBF">
            <w:rPr>
              <w:rFonts w:cstheme="minorHAnsi"/>
              <w:sz w:val="23"/>
              <w:szCs w:val="23"/>
            </w:rPr>
            <w:t>contient aussi une obligation générale et une présomption d’impartialité, ainsi qu’une interdiction d’agir de manière arbitraire.</w:t>
          </w:r>
        </w:p>
        <w:p w14:paraId="311D785E" w14:textId="77777777" w:rsidR="007C316A" w:rsidRPr="00406EBF" w:rsidRDefault="007C316A" w:rsidP="001878CC">
          <w:pPr>
            <w:spacing w:line="240" w:lineRule="auto"/>
            <w:jc w:val="both"/>
            <w:rPr>
              <w:rFonts w:cstheme="minorHAnsi"/>
              <w:sz w:val="23"/>
              <w:szCs w:val="23"/>
            </w:rPr>
          </w:pPr>
        </w:p>
        <w:p w14:paraId="529F6F69" w14:textId="4E03171E" w:rsidR="007C316A" w:rsidRPr="00406EBF" w:rsidRDefault="005E3F5F"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En outre, le code de déontologie prévoit que les membres du personnel de la police « évitent tout acte ou attitude de nature à ébranler la présomption d’impartialité » (</w:t>
          </w:r>
          <w:r w:rsidR="000B25FF">
            <w:rPr>
              <w:rFonts w:cstheme="minorHAnsi"/>
              <w:sz w:val="23"/>
              <w:szCs w:val="23"/>
            </w:rPr>
            <w:t>point</w:t>
          </w:r>
          <w:r w:rsidRPr="00406EBF">
            <w:rPr>
              <w:rFonts w:cstheme="minorHAnsi"/>
              <w:sz w:val="23"/>
              <w:szCs w:val="23"/>
            </w:rPr>
            <w:t xml:space="preserve"> 22) et que ceux « qui sont impliqués personnellement dans une affaire, de telle sorte que leur impartialité pourrait être mise en cause, s’abstiennent de s’engager personnellement dans le traitement de celle-ci. Ils font, le cas échéant via leur chef, appel à d’autres collègues afin que soient accomplis ou poursuivis les devoirs professionnels »</w:t>
          </w:r>
          <w:r w:rsidR="0093787D" w:rsidRPr="00406EBF">
            <w:rPr>
              <w:rFonts w:cstheme="minorHAnsi"/>
              <w:sz w:val="23"/>
              <w:szCs w:val="23"/>
            </w:rPr>
            <w:t xml:space="preserve"> (</w:t>
          </w:r>
          <w:r w:rsidR="000B25FF">
            <w:rPr>
              <w:rFonts w:cstheme="minorHAnsi"/>
              <w:sz w:val="23"/>
              <w:szCs w:val="23"/>
            </w:rPr>
            <w:t>point</w:t>
          </w:r>
          <w:r w:rsidR="0093787D" w:rsidRPr="00406EBF">
            <w:rPr>
              <w:rFonts w:cstheme="minorHAnsi"/>
              <w:sz w:val="23"/>
              <w:szCs w:val="23"/>
            </w:rPr>
            <w:t xml:space="preserve"> 23)</w:t>
          </w:r>
          <w:r w:rsidRPr="00406EBF">
            <w:rPr>
              <w:rFonts w:cstheme="minorHAnsi"/>
              <w:sz w:val="23"/>
              <w:szCs w:val="23"/>
            </w:rPr>
            <w:t>.</w:t>
          </w:r>
        </w:p>
        <w:p w14:paraId="4981F100" w14:textId="77777777" w:rsidR="00873A37" w:rsidRPr="00406EBF" w:rsidRDefault="00873A37" w:rsidP="00873A37">
          <w:pPr>
            <w:pStyle w:val="Paragraphedeliste"/>
            <w:rPr>
              <w:rFonts w:cstheme="minorHAnsi"/>
              <w:sz w:val="23"/>
              <w:szCs w:val="23"/>
            </w:rPr>
          </w:pPr>
        </w:p>
        <w:p w14:paraId="19076F62" w14:textId="679AAFC4" w:rsidR="00873A37" w:rsidRPr="00406EBF" w:rsidRDefault="00873A37"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L’EEG note que les </w:t>
          </w:r>
          <w:r w:rsidR="009C51F2">
            <w:rPr>
              <w:rFonts w:cstheme="minorHAnsi"/>
              <w:sz w:val="23"/>
              <w:szCs w:val="23"/>
            </w:rPr>
            <w:t>points</w:t>
          </w:r>
          <w:r w:rsidR="009C51F2" w:rsidRPr="00406EBF">
            <w:rPr>
              <w:rFonts w:cstheme="minorHAnsi"/>
              <w:sz w:val="23"/>
              <w:szCs w:val="23"/>
            </w:rPr>
            <w:t xml:space="preserve"> </w:t>
          </w:r>
          <w:r w:rsidRPr="00406EBF">
            <w:rPr>
              <w:rFonts w:cstheme="minorHAnsi"/>
              <w:sz w:val="23"/>
              <w:szCs w:val="23"/>
            </w:rPr>
            <w:t xml:space="preserve">22 et 23 du code de déontologie sont rédigés de manière très générale et contiennent des notions largement ouvertes à interprétation, comme l’implication personnelle ou la mise en cause de l’impartialité. Même si le commentaire du code contient certains exemples, l’EEG est d’avis qu’il serait utile de préciser </w:t>
          </w:r>
          <w:r w:rsidR="007429A7" w:rsidRPr="00406EBF">
            <w:rPr>
              <w:rFonts w:cstheme="minorHAnsi"/>
              <w:sz w:val="23"/>
              <w:szCs w:val="23"/>
            </w:rPr>
            <w:t xml:space="preserve">et de concrétiser </w:t>
          </w:r>
          <w:r w:rsidRPr="00406EBF">
            <w:rPr>
              <w:rFonts w:cstheme="minorHAnsi"/>
              <w:sz w:val="23"/>
              <w:szCs w:val="23"/>
            </w:rPr>
            <w:t>encore ces notions</w:t>
          </w:r>
          <w:r w:rsidR="007429A7" w:rsidRPr="00406EBF">
            <w:rPr>
              <w:rFonts w:cstheme="minorHAnsi"/>
              <w:sz w:val="23"/>
              <w:szCs w:val="23"/>
            </w:rPr>
            <w:t xml:space="preserve">, notamment en ajoutant des critères spécifiques de récusation dans certains cas, comme les liens familiaux et conjugaux par exemple. Ceci pourrait être fait dans le cadre de la mise à jour du code de déontologie recommandée ci-dessus (voir </w:t>
          </w:r>
          <w:r w:rsidR="007429A7" w:rsidRPr="004409F8">
            <w:rPr>
              <w:rFonts w:cstheme="minorHAnsi"/>
              <w:sz w:val="23"/>
              <w:szCs w:val="23"/>
            </w:rPr>
            <w:t xml:space="preserve">paragraphe </w:t>
          </w:r>
          <w:r w:rsidR="007F2679" w:rsidRPr="004409F8">
            <w:rPr>
              <w:rFonts w:cstheme="minorHAnsi"/>
              <w:sz w:val="23"/>
              <w:szCs w:val="23"/>
            </w:rPr>
            <w:t>16</w:t>
          </w:r>
          <w:r w:rsidR="0019274D" w:rsidRPr="004409F8">
            <w:rPr>
              <w:rFonts w:cstheme="minorHAnsi"/>
              <w:sz w:val="23"/>
              <w:szCs w:val="23"/>
            </w:rPr>
            <w:t>6</w:t>
          </w:r>
          <w:r w:rsidR="007429A7" w:rsidRPr="004409F8">
            <w:rPr>
              <w:rFonts w:cstheme="minorHAnsi"/>
              <w:sz w:val="23"/>
              <w:szCs w:val="23"/>
            </w:rPr>
            <w:t xml:space="preserve">). Par ailleurs, il serait utile d’instaurer un suivi des déclarations de conflits d’intérêts, notamment dans le cadre du contrôle d’intégrité au cours de la carrière, lui aussi recommandé ci-dessus (voir paragraphe </w:t>
          </w:r>
          <w:r w:rsidR="007F2679" w:rsidRPr="004409F8">
            <w:rPr>
              <w:rFonts w:cstheme="minorHAnsi"/>
              <w:sz w:val="23"/>
              <w:szCs w:val="23"/>
            </w:rPr>
            <w:t>18</w:t>
          </w:r>
          <w:r w:rsidR="0019274D" w:rsidRPr="004409F8">
            <w:rPr>
              <w:rFonts w:cstheme="minorHAnsi"/>
              <w:sz w:val="23"/>
              <w:szCs w:val="23"/>
            </w:rPr>
            <w:t>1</w:t>
          </w:r>
          <w:r w:rsidR="007429A7" w:rsidRPr="004409F8">
            <w:rPr>
              <w:rFonts w:cstheme="minorHAnsi"/>
              <w:sz w:val="23"/>
              <w:szCs w:val="23"/>
            </w:rPr>
            <w:t>).</w:t>
          </w:r>
        </w:p>
        <w:p w14:paraId="4D48C909" w14:textId="77777777" w:rsidR="00E5336C" w:rsidRPr="00406EBF" w:rsidRDefault="00E5336C" w:rsidP="001878CC">
          <w:pPr>
            <w:tabs>
              <w:tab w:val="left" w:pos="709"/>
            </w:tabs>
            <w:spacing w:line="240" w:lineRule="auto"/>
            <w:jc w:val="both"/>
            <w:rPr>
              <w:rFonts w:cstheme="minorHAnsi"/>
              <w:sz w:val="23"/>
              <w:szCs w:val="23"/>
            </w:rPr>
          </w:pPr>
        </w:p>
        <w:p w14:paraId="7C552E37" w14:textId="77777777" w:rsidR="00FF2287" w:rsidRPr="00406EBF" w:rsidRDefault="00FF2287" w:rsidP="001878CC">
          <w:pPr>
            <w:pStyle w:val="Titre2"/>
            <w:tabs>
              <w:tab w:val="left" w:pos="709"/>
            </w:tabs>
            <w:spacing w:before="0" w:line="240" w:lineRule="auto"/>
            <w:rPr>
              <w:rFonts w:asciiTheme="minorHAnsi" w:hAnsiTheme="minorHAnsi"/>
              <w:color w:val="auto"/>
              <w:sz w:val="23"/>
              <w:szCs w:val="23"/>
              <w:u w:val="single"/>
            </w:rPr>
          </w:pPr>
          <w:bookmarkStart w:id="145" w:name="_Toc2777426"/>
          <w:bookmarkStart w:id="146" w:name="_Toc21339599"/>
          <w:r w:rsidRPr="00406EBF">
            <w:rPr>
              <w:rFonts w:asciiTheme="minorHAnsi" w:hAnsiTheme="minorHAnsi"/>
              <w:color w:val="auto"/>
              <w:sz w:val="23"/>
              <w:szCs w:val="23"/>
              <w:u w:val="single"/>
            </w:rPr>
            <w:t>Interdiction ou limitation de certaines activités</w:t>
          </w:r>
          <w:bookmarkEnd w:id="145"/>
          <w:bookmarkEnd w:id="146"/>
        </w:p>
        <w:p w14:paraId="6ADAECEA" w14:textId="77777777" w:rsidR="00FF2287" w:rsidRPr="00406EBF" w:rsidRDefault="00FF2287" w:rsidP="001878CC">
          <w:pPr>
            <w:pStyle w:val="Titre3"/>
            <w:tabs>
              <w:tab w:val="left" w:pos="709"/>
            </w:tabs>
            <w:spacing w:before="0" w:line="240" w:lineRule="auto"/>
            <w:jc w:val="both"/>
            <w:rPr>
              <w:rFonts w:asciiTheme="minorHAnsi" w:hAnsiTheme="minorHAnsi" w:cstheme="minorHAnsi"/>
              <w:color w:val="auto"/>
              <w:sz w:val="23"/>
              <w:szCs w:val="23"/>
            </w:rPr>
          </w:pPr>
        </w:p>
        <w:p w14:paraId="6BBFAD70"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47" w:name="_Toc342554312"/>
          <w:bookmarkStart w:id="148" w:name="_Toc342640987"/>
          <w:bookmarkStart w:id="149" w:name="_Toc2777427"/>
          <w:bookmarkStart w:id="150" w:name="_Toc21339600"/>
          <w:r w:rsidRPr="00406EBF">
            <w:rPr>
              <w:rFonts w:asciiTheme="minorHAnsi" w:hAnsiTheme="minorHAnsi" w:cstheme="minorHAnsi"/>
              <w:b w:val="0"/>
              <w:i/>
              <w:color w:val="auto"/>
              <w:sz w:val="23"/>
              <w:szCs w:val="23"/>
            </w:rPr>
            <w:t>Incompatibilités,</w:t>
          </w:r>
          <w:bookmarkEnd w:id="147"/>
          <w:bookmarkEnd w:id="148"/>
          <w:r w:rsidRPr="00406EBF">
            <w:rPr>
              <w:rFonts w:asciiTheme="minorHAnsi" w:hAnsiTheme="minorHAnsi" w:cstheme="minorHAnsi"/>
              <w:b w:val="0"/>
              <w:i/>
              <w:color w:val="auto"/>
              <w:sz w:val="23"/>
              <w:szCs w:val="23"/>
            </w:rPr>
            <w:t xml:space="preserve"> activités accessoires et intérêts financiers</w:t>
          </w:r>
          <w:bookmarkEnd w:id="149"/>
          <w:bookmarkEnd w:id="150"/>
        </w:p>
        <w:p w14:paraId="336D9933" w14:textId="77777777" w:rsidR="007C316A" w:rsidRPr="00406EBF" w:rsidRDefault="007C316A" w:rsidP="001878CC">
          <w:pPr>
            <w:spacing w:line="240" w:lineRule="auto"/>
            <w:jc w:val="both"/>
            <w:rPr>
              <w:rFonts w:cstheme="minorHAnsi"/>
              <w:sz w:val="23"/>
              <w:szCs w:val="23"/>
            </w:rPr>
          </w:pPr>
        </w:p>
        <w:p w14:paraId="0E9B0894" w14:textId="77777777" w:rsidR="006129A8" w:rsidRPr="00406EBF" w:rsidRDefault="006129A8" w:rsidP="006129A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L’art. 134 de la Loi du 7 décembre 1998 organisant un service de police intégré, structuré à deux niveaux (LPI) prévoit que la qualité du membre du personnel du cadre opérationnel est incompatible avec les emplois, professions ou occupations complémentaires suivants, même non rémunérés, qui sont exercés, soit dans une entreprise privée sans but lucratif, soit au sein d’une association de fait, soit, le cas échéant, auprès de particuliers :</w:t>
          </w:r>
        </w:p>
        <w:p w14:paraId="6CA4E171" w14:textId="77777777" w:rsidR="006129A8" w:rsidRPr="00406EBF" w:rsidRDefault="006129A8" w:rsidP="006129A8">
          <w:pPr>
            <w:tabs>
              <w:tab w:val="left" w:pos="709"/>
            </w:tabs>
            <w:spacing w:line="240" w:lineRule="auto"/>
            <w:jc w:val="both"/>
            <w:rPr>
              <w:rFonts w:cstheme="minorHAnsi"/>
              <w:sz w:val="23"/>
              <w:szCs w:val="23"/>
            </w:rPr>
          </w:pPr>
        </w:p>
        <w:p w14:paraId="0C69976D"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sidRPr="00406EBF">
            <w:rPr>
              <w:rFonts w:cstheme="minorHAnsi"/>
              <w:sz w:val="23"/>
              <w:szCs w:val="23"/>
            </w:rPr>
            <w:t>être membre opérationnel d’un service de secours ou être ambulancier;</w:t>
          </w:r>
        </w:p>
        <w:p w14:paraId="49E2EF50"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sidRPr="00406EBF">
            <w:rPr>
              <w:rFonts w:cstheme="minorHAnsi"/>
              <w:sz w:val="23"/>
              <w:szCs w:val="23"/>
            </w:rPr>
            <w:lastRenderedPageBreak/>
            <w:t>en tant que membre du personnel dirigeant ou enseignant d’une école de conduite agréée, donner des cours pratiques de conduite de véhicules sur la voie publique;</w:t>
          </w:r>
        </w:p>
        <w:p w14:paraId="2203AB2D" w14:textId="77777777" w:rsidR="006129A8" w:rsidRPr="00406EBF" w:rsidRDefault="006029E2" w:rsidP="006129A8">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exercer la </w:t>
          </w:r>
          <w:r w:rsidR="006129A8" w:rsidRPr="00406EBF">
            <w:rPr>
              <w:rFonts w:cstheme="minorHAnsi"/>
              <w:sz w:val="23"/>
              <w:szCs w:val="23"/>
            </w:rPr>
            <w:t>fonction de garde champêtre particulier.</w:t>
          </w:r>
        </w:p>
        <w:p w14:paraId="01CAB265" w14:textId="77777777" w:rsidR="006129A8" w:rsidRPr="00406EBF" w:rsidRDefault="006129A8" w:rsidP="006129A8">
          <w:pPr>
            <w:tabs>
              <w:tab w:val="left" w:pos="709"/>
            </w:tabs>
            <w:spacing w:line="240" w:lineRule="auto"/>
            <w:jc w:val="both"/>
            <w:rPr>
              <w:rFonts w:cstheme="minorHAnsi"/>
              <w:sz w:val="23"/>
              <w:szCs w:val="23"/>
            </w:rPr>
          </w:pPr>
        </w:p>
        <w:p w14:paraId="582A8663" w14:textId="77777777" w:rsidR="00A30683" w:rsidRPr="00406EBF" w:rsidRDefault="00BD5E1D" w:rsidP="006129A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S’agissant de</w:t>
          </w:r>
          <w:r w:rsidR="00A30683" w:rsidRPr="00406EBF">
            <w:rPr>
              <w:rFonts w:cstheme="minorHAnsi"/>
              <w:sz w:val="23"/>
              <w:szCs w:val="23"/>
            </w:rPr>
            <w:t xml:space="preserve"> l’exercice d’</w:t>
          </w:r>
          <w:r w:rsidRPr="00406EBF">
            <w:rPr>
              <w:rFonts w:cstheme="minorHAnsi"/>
              <w:sz w:val="23"/>
              <w:szCs w:val="23"/>
            </w:rPr>
            <w:t xml:space="preserve">activités accessoires, </w:t>
          </w:r>
          <w:r w:rsidR="00A30683" w:rsidRPr="00406EBF">
            <w:rPr>
              <w:rFonts w:cstheme="minorHAnsi"/>
              <w:sz w:val="23"/>
              <w:szCs w:val="23"/>
            </w:rPr>
            <w:t xml:space="preserve">le principe général </w:t>
          </w:r>
          <w:r w:rsidR="00A1119A" w:rsidRPr="00406EBF">
            <w:rPr>
              <w:rFonts w:cstheme="minorHAnsi"/>
              <w:sz w:val="23"/>
              <w:szCs w:val="23"/>
            </w:rPr>
            <w:t xml:space="preserve">jusqu’au 31 août 2018 </w:t>
          </w:r>
          <w:r w:rsidR="00A30683" w:rsidRPr="00406EBF">
            <w:rPr>
              <w:rFonts w:cstheme="minorHAnsi"/>
              <w:sz w:val="23"/>
              <w:szCs w:val="23"/>
            </w:rPr>
            <w:t xml:space="preserve">était l’interdiction, sauf autorisation de l’exercice d’activités particulières. La pratique d’autorisation de ces activités était restrictive.  Le système a opéré un revirement complet à compter de cette date, le principe étant désormais l’autorisation de l’exercice d’activités accessoires, sauf exception. </w:t>
          </w:r>
        </w:p>
        <w:p w14:paraId="7272588F" w14:textId="77777777" w:rsidR="00A30683" w:rsidRPr="00406EBF" w:rsidRDefault="00A30683" w:rsidP="00A30683">
          <w:pPr>
            <w:tabs>
              <w:tab w:val="left" w:pos="709"/>
            </w:tabs>
            <w:spacing w:line="240" w:lineRule="auto"/>
            <w:jc w:val="both"/>
            <w:rPr>
              <w:rFonts w:cstheme="minorHAnsi"/>
              <w:sz w:val="23"/>
              <w:szCs w:val="23"/>
            </w:rPr>
          </w:pPr>
        </w:p>
        <w:p w14:paraId="27BC5991" w14:textId="77777777" w:rsidR="006129A8" w:rsidRPr="00406EBF" w:rsidRDefault="006129A8" w:rsidP="006129A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L’art. 135 de la </w:t>
          </w:r>
          <w:r w:rsidR="00A30683" w:rsidRPr="00406EBF">
            <w:rPr>
              <w:rFonts w:cstheme="minorHAnsi"/>
              <w:sz w:val="23"/>
              <w:szCs w:val="23"/>
            </w:rPr>
            <w:t>LPI</w:t>
          </w:r>
          <w:r w:rsidRPr="00406EBF">
            <w:rPr>
              <w:rFonts w:cstheme="minorHAnsi"/>
              <w:sz w:val="23"/>
              <w:szCs w:val="23"/>
            </w:rPr>
            <w:t xml:space="preserve"> prescrit que le membre du personnel du cadre opérationnel communique au préalable au commissaire général toute occupation</w:t>
          </w:r>
          <w:r w:rsidR="00A30683" w:rsidRPr="00406EBF">
            <w:rPr>
              <w:rFonts w:cstheme="minorHAnsi"/>
              <w:sz w:val="23"/>
              <w:szCs w:val="23"/>
            </w:rPr>
            <w:t xml:space="preserve"> non incompatible </w:t>
          </w:r>
          <w:r w:rsidRPr="00406EBF">
            <w:rPr>
              <w:rFonts w:cstheme="minorHAnsi"/>
              <w:sz w:val="23"/>
              <w:szCs w:val="23"/>
            </w:rPr>
            <w:t>qu’il entend exercer. L</w:t>
          </w:r>
          <w:r w:rsidR="000C5297" w:rsidRPr="00406EBF">
            <w:rPr>
              <w:rFonts w:cstheme="minorHAnsi"/>
              <w:sz w:val="23"/>
              <w:szCs w:val="23"/>
            </w:rPr>
            <w:t>e commissaire général</w:t>
          </w:r>
          <w:r w:rsidR="00A30683" w:rsidRPr="00406EBF">
            <w:rPr>
              <w:rFonts w:cstheme="minorHAnsi"/>
              <w:sz w:val="23"/>
              <w:szCs w:val="23"/>
            </w:rPr>
            <w:t xml:space="preserve"> </w:t>
          </w:r>
          <w:r w:rsidR="00A1119A" w:rsidRPr="00406EBF">
            <w:rPr>
              <w:rFonts w:cstheme="minorHAnsi"/>
              <w:sz w:val="23"/>
              <w:szCs w:val="23"/>
            </w:rPr>
            <w:t>– qui a en pratique délégué cette compétence à la Directrice du Personnel – peut</w:t>
          </w:r>
          <w:r w:rsidRPr="00406EBF">
            <w:rPr>
              <w:rFonts w:cstheme="minorHAnsi"/>
              <w:sz w:val="23"/>
              <w:szCs w:val="23"/>
            </w:rPr>
            <w:t>, dans les 45 jours suiv</w:t>
          </w:r>
          <w:r w:rsidR="00A30683" w:rsidRPr="00406EBF">
            <w:rPr>
              <w:rFonts w:cstheme="minorHAnsi"/>
              <w:sz w:val="23"/>
              <w:szCs w:val="23"/>
            </w:rPr>
            <w:t>a</w:t>
          </w:r>
          <w:r w:rsidRPr="00406EBF">
            <w:rPr>
              <w:rFonts w:cstheme="minorHAnsi"/>
              <w:sz w:val="23"/>
              <w:szCs w:val="23"/>
            </w:rPr>
            <w:t>nt la réception de la communication et après avoir recueilli l’avis, selon le cas, du directeur général qui dirige la direction générale sous l’autorité de laquelle le demandeur exerce sa fonction ou du chef de corps, par une décision motivée :</w:t>
          </w:r>
        </w:p>
        <w:p w14:paraId="7FC4CDA3"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sidRPr="00406EBF">
            <w:rPr>
              <w:rFonts w:cstheme="minorHAnsi"/>
              <w:sz w:val="23"/>
              <w:szCs w:val="23"/>
            </w:rPr>
            <w:t>refuser l’exercice de l’occupation communiquée, dans le cadre des directives données par le ministre de l’Intérieur;</w:t>
          </w:r>
        </w:p>
        <w:p w14:paraId="3C11EEBC"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sidRPr="00406EBF">
            <w:rPr>
              <w:rFonts w:cstheme="minorHAnsi"/>
              <w:sz w:val="23"/>
              <w:szCs w:val="23"/>
            </w:rPr>
            <w:t>soumettre l’exercice de l’occupation communiquée à certaines conditions relatives à l’intérêt du service et à la dignité de l’état de membre du personnel.</w:t>
          </w:r>
        </w:p>
        <w:p w14:paraId="17007A57" w14:textId="77777777" w:rsidR="006129A8" w:rsidRPr="00406EBF" w:rsidRDefault="006129A8" w:rsidP="006129A8">
          <w:pPr>
            <w:tabs>
              <w:tab w:val="left" w:pos="709"/>
            </w:tabs>
            <w:spacing w:line="240" w:lineRule="auto"/>
            <w:jc w:val="both"/>
            <w:rPr>
              <w:rFonts w:cstheme="minorHAnsi"/>
              <w:sz w:val="23"/>
              <w:szCs w:val="23"/>
            </w:rPr>
          </w:pPr>
        </w:p>
        <w:p w14:paraId="08621F7F" w14:textId="77777777" w:rsidR="006129A8" w:rsidRPr="00406EBF" w:rsidRDefault="006129A8" w:rsidP="006129A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A l’ex</w:t>
          </w:r>
          <w:r w:rsidR="00A1119A" w:rsidRPr="00406EBF">
            <w:rPr>
              <w:rFonts w:cstheme="minorHAnsi"/>
              <w:sz w:val="23"/>
              <w:szCs w:val="23"/>
            </w:rPr>
            <w:t xml:space="preserve">piration du délai de 45 jours et sauf en cas de refus, l’exercice de l’activité accessoire communiquée est autorisé. </w:t>
          </w:r>
          <w:r w:rsidR="00F0261B" w:rsidRPr="00406EBF">
            <w:rPr>
              <w:rFonts w:cstheme="minorHAnsi"/>
              <w:sz w:val="23"/>
              <w:szCs w:val="23"/>
            </w:rPr>
            <w:t xml:space="preserve">Selon les informations communiquées à l’EEG, depuis le changement législatif, seules 3 demandes d’activités accessoires sur 250 ont été refusées et ces demandes concernaient des activités légalement incompatibles. </w:t>
          </w:r>
        </w:p>
        <w:p w14:paraId="375EEDFB" w14:textId="77777777" w:rsidR="00F0261B" w:rsidRPr="00406EBF" w:rsidRDefault="00F0261B" w:rsidP="00F0261B">
          <w:pPr>
            <w:tabs>
              <w:tab w:val="left" w:pos="709"/>
            </w:tabs>
            <w:spacing w:line="240" w:lineRule="auto"/>
            <w:jc w:val="both"/>
            <w:rPr>
              <w:rFonts w:cstheme="minorHAnsi"/>
              <w:sz w:val="23"/>
              <w:szCs w:val="23"/>
            </w:rPr>
          </w:pPr>
        </w:p>
        <w:p w14:paraId="4FDC7B6B" w14:textId="77777777" w:rsidR="00F0261B" w:rsidRPr="00406EBF" w:rsidRDefault="00F0261B" w:rsidP="006129A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Ce passage d’un régime d’interdiction des activités accessoires sauf exception à un régime d’autorisation presque totale a été expliqué à l’EEG comme étant la conséquence de l’intégration dans la police du service des agents de sûreté de l’Etat, qui avaient un régime d’activités accessoires plus favorable. Cette mesure, demandée par un syndicat, a été unanimement critiqué</w:t>
          </w:r>
          <w:r w:rsidR="00893B84" w:rsidRPr="00406EBF">
            <w:rPr>
              <w:rFonts w:cstheme="minorHAnsi"/>
              <w:sz w:val="23"/>
              <w:szCs w:val="23"/>
            </w:rPr>
            <w:t>e</w:t>
          </w:r>
          <w:r w:rsidRPr="00406EBF">
            <w:rPr>
              <w:rFonts w:cstheme="minorHAnsi"/>
              <w:sz w:val="23"/>
              <w:szCs w:val="23"/>
            </w:rPr>
            <w:t xml:space="preserve"> lors de la visite sur place</w:t>
          </w:r>
          <w:r w:rsidR="00893B84" w:rsidRPr="00406EBF">
            <w:rPr>
              <w:rFonts w:cstheme="minorHAnsi"/>
              <w:sz w:val="23"/>
              <w:szCs w:val="23"/>
            </w:rPr>
            <w:t>, y compris par les autres syndicats</w:t>
          </w:r>
          <w:r w:rsidRPr="00406EBF">
            <w:rPr>
              <w:rFonts w:cstheme="minorHAnsi"/>
              <w:sz w:val="23"/>
              <w:szCs w:val="23"/>
            </w:rPr>
            <w:t xml:space="preserve">. </w:t>
          </w:r>
        </w:p>
        <w:p w14:paraId="58778B6A" w14:textId="77777777" w:rsidR="00893B84" w:rsidRPr="00406EBF" w:rsidRDefault="00893B84" w:rsidP="00893B84">
          <w:pPr>
            <w:pStyle w:val="Paragraphedeliste"/>
            <w:rPr>
              <w:rFonts w:cstheme="minorHAnsi"/>
              <w:sz w:val="23"/>
              <w:szCs w:val="23"/>
            </w:rPr>
          </w:pPr>
        </w:p>
        <w:p w14:paraId="7D2C4FA6" w14:textId="7217DAA6" w:rsidR="00842E2A" w:rsidRPr="004409F8" w:rsidRDefault="00893B84" w:rsidP="00842E2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L’EEG ne peut que souscrire à ces critiques, car le nouveau régime d’autorisation pose de nombreuses questions sous l’angle de la prévention des conflits d’intérêts, de la gestion du temps de travail, de l’encadrement et du contrôle. En l’absence de critères venant guider l’octroi ou non de l’autorisation des activités accessoires, toutes les demandes sont à l’heure actuelle acceptées. Il a été confirmé à l’EEG qu’un risque de conflit d’intérêt ne suffirait pas à interdire une activité accessoire. Elle a aussi eu connaissance d’un cas de bagarre entre policiers sur une question de prolongation des heures de service, qui venait porter atteinte à l’exercice d’une activité accessoire. </w:t>
          </w:r>
          <w:r w:rsidR="00842E2A" w:rsidRPr="00406EBF">
            <w:rPr>
              <w:rFonts w:cstheme="minorHAnsi"/>
              <w:sz w:val="23"/>
              <w:szCs w:val="23"/>
            </w:rPr>
            <w:t xml:space="preserve">L’EEG estime que fondamentalement, les policiers devraient se consacrer entièrement à leurs fonctions – sans exclure le temps partiel –, des exceptions restant possibles. Le principe inverse récemment instauré donne un signal dommageable à la crédibilité de l’institution. Par conséquent, </w:t>
          </w:r>
          <w:r w:rsidR="00842E2A" w:rsidRPr="00406EBF">
            <w:rPr>
              <w:rFonts w:cstheme="minorHAnsi"/>
              <w:b/>
              <w:sz w:val="23"/>
              <w:szCs w:val="23"/>
            </w:rPr>
            <w:t xml:space="preserve">le GRECO recommande </w:t>
          </w:r>
          <w:bookmarkStart w:id="151" w:name="_Hlk26528838"/>
          <w:r w:rsidR="00842E2A" w:rsidRPr="00406EBF">
            <w:rPr>
              <w:rFonts w:cstheme="minorHAnsi"/>
              <w:b/>
              <w:sz w:val="23"/>
              <w:szCs w:val="23"/>
            </w:rPr>
            <w:t>que des critères objectifs et transparents encadrent strictement les possibilités d’activités accessoires et qu’un régime de contrôle effectif soit assuré</w:t>
          </w:r>
          <w:bookmarkEnd w:id="151"/>
          <w:r w:rsidR="00842E2A" w:rsidRPr="00406EBF">
            <w:rPr>
              <w:rFonts w:cstheme="minorHAnsi"/>
              <w:b/>
              <w:sz w:val="23"/>
              <w:szCs w:val="23"/>
            </w:rPr>
            <w:t>.</w:t>
          </w:r>
          <w:r w:rsidR="00B74E43" w:rsidRPr="00406EBF">
            <w:rPr>
              <w:rFonts w:cstheme="minorHAnsi"/>
              <w:sz w:val="23"/>
              <w:szCs w:val="23"/>
            </w:rPr>
            <w:t xml:space="preserve"> A la lumière de ces critères, le code de déontologie devra également être mis à jour, puisque le texte du code, datant de 2006, reflète le régime antérieur d’interdiction. Une recommandation en ce sens figure au </w:t>
          </w:r>
          <w:r w:rsidR="00B74E43" w:rsidRPr="004409F8">
            <w:rPr>
              <w:rFonts w:cstheme="minorHAnsi"/>
              <w:sz w:val="23"/>
              <w:szCs w:val="23"/>
            </w:rPr>
            <w:t xml:space="preserve">paragraphe </w:t>
          </w:r>
          <w:r w:rsidR="007F2679" w:rsidRPr="004409F8">
            <w:rPr>
              <w:rFonts w:cstheme="minorHAnsi"/>
              <w:sz w:val="23"/>
              <w:szCs w:val="23"/>
            </w:rPr>
            <w:t>16</w:t>
          </w:r>
          <w:r w:rsidR="0019274D" w:rsidRPr="004409F8">
            <w:rPr>
              <w:rFonts w:cstheme="minorHAnsi"/>
              <w:sz w:val="23"/>
              <w:szCs w:val="23"/>
            </w:rPr>
            <w:t>6</w:t>
          </w:r>
          <w:r w:rsidR="007F2679" w:rsidRPr="004409F8">
            <w:rPr>
              <w:rFonts w:cstheme="minorHAnsi"/>
              <w:sz w:val="23"/>
              <w:szCs w:val="23"/>
            </w:rPr>
            <w:t>.</w:t>
          </w:r>
          <w:r w:rsidR="00B74E43" w:rsidRPr="004409F8">
            <w:rPr>
              <w:rFonts w:cstheme="minorHAnsi"/>
              <w:sz w:val="23"/>
              <w:szCs w:val="23"/>
            </w:rPr>
            <w:t xml:space="preserve"> </w:t>
          </w:r>
        </w:p>
        <w:p w14:paraId="27F893F5" w14:textId="77777777" w:rsidR="00E54F77" w:rsidRPr="00406EBF" w:rsidRDefault="00E54F77" w:rsidP="00E54F77">
          <w:pPr>
            <w:tabs>
              <w:tab w:val="left" w:pos="709"/>
            </w:tabs>
            <w:spacing w:line="240" w:lineRule="auto"/>
            <w:jc w:val="both"/>
            <w:rPr>
              <w:rFonts w:cstheme="minorHAnsi"/>
              <w:sz w:val="23"/>
              <w:szCs w:val="23"/>
            </w:rPr>
          </w:pPr>
        </w:p>
        <w:p w14:paraId="0650F334" w14:textId="77777777" w:rsidR="00E54F77" w:rsidRPr="00406EBF" w:rsidRDefault="00E54F77" w:rsidP="00842E2A">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détention d’intérêts financiers ne fait pas l’objet d’une réglementation spécifique.</w:t>
          </w:r>
        </w:p>
        <w:p w14:paraId="6A8EB328" w14:textId="77777777" w:rsidR="00F0261B" w:rsidRPr="00406EBF" w:rsidRDefault="00F0261B" w:rsidP="00F0261B">
          <w:pPr>
            <w:tabs>
              <w:tab w:val="left" w:pos="709"/>
            </w:tabs>
            <w:spacing w:line="240" w:lineRule="auto"/>
            <w:jc w:val="both"/>
            <w:rPr>
              <w:rFonts w:cstheme="minorHAnsi"/>
              <w:sz w:val="23"/>
              <w:szCs w:val="23"/>
            </w:rPr>
          </w:pPr>
        </w:p>
        <w:p w14:paraId="7F7BF83E"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52" w:name="_Toc2777428"/>
          <w:bookmarkStart w:id="153" w:name="_Toc21339601"/>
          <w:r w:rsidRPr="00406EBF">
            <w:rPr>
              <w:rFonts w:asciiTheme="minorHAnsi" w:hAnsiTheme="minorHAnsi" w:cstheme="minorHAnsi"/>
              <w:b w:val="0"/>
              <w:i/>
              <w:color w:val="auto"/>
              <w:sz w:val="23"/>
              <w:szCs w:val="23"/>
            </w:rPr>
            <w:lastRenderedPageBreak/>
            <w:t>Cadeaux</w:t>
          </w:r>
          <w:bookmarkEnd w:id="152"/>
          <w:bookmarkEnd w:id="153"/>
        </w:p>
        <w:p w14:paraId="51EF663F" w14:textId="77777777" w:rsidR="007C316A" w:rsidRPr="00406EBF" w:rsidRDefault="007C316A" w:rsidP="001878CC">
          <w:pPr>
            <w:spacing w:line="240" w:lineRule="auto"/>
            <w:jc w:val="both"/>
            <w:rPr>
              <w:rFonts w:cstheme="minorHAnsi"/>
              <w:sz w:val="23"/>
              <w:szCs w:val="23"/>
            </w:rPr>
          </w:pPr>
        </w:p>
        <w:p w14:paraId="68326550" w14:textId="3455D230" w:rsidR="004F1262" w:rsidRPr="00406EBF" w:rsidRDefault="00DC2400" w:rsidP="00436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Selon </w:t>
          </w:r>
          <w:r w:rsidR="009C51F2">
            <w:rPr>
              <w:rFonts w:cstheme="minorHAnsi"/>
              <w:sz w:val="23"/>
              <w:szCs w:val="23"/>
            </w:rPr>
            <w:t>le point</w:t>
          </w:r>
          <w:r w:rsidRPr="00406EBF">
            <w:rPr>
              <w:rFonts w:cstheme="minorHAnsi"/>
              <w:sz w:val="23"/>
              <w:szCs w:val="23"/>
            </w:rPr>
            <w:t xml:space="preserve"> 26 du Code de déontologie, </w:t>
          </w:r>
          <w:r w:rsidR="00474CC7" w:rsidRPr="00406EBF">
            <w:rPr>
              <w:rFonts w:cstheme="minorHAnsi"/>
              <w:sz w:val="23"/>
              <w:szCs w:val="23"/>
            </w:rPr>
            <w:t>« </w:t>
          </w:r>
          <w:r w:rsidRPr="00406EBF">
            <w:rPr>
              <w:rFonts w:cstheme="minorHAnsi"/>
              <w:sz w:val="23"/>
              <w:szCs w:val="23"/>
            </w:rPr>
            <w:t>il est interdit aux membres du personnel de solliciter, d’exiger ou d’accepter, directement ou par personne interposée, même en dehors de leurs fonctions, mais en raison de celles-ci, des dons, gratifications ou avantages quelconques.</w:t>
          </w:r>
          <w:r w:rsidR="008E4D99" w:rsidRPr="00406EBF">
            <w:rPr>
              <w:rFonts w:cstheme="minorHAnsi"/>
              <w:sz w:val="23"/>
              <w:szCs w:val="23"/>
            </w:rPr>
            <w:t xml:space="preserve"> </w:t>
          </w:r>
          <w:r w:rsidRPr="00406EBF">
            <w:rPr>
              <w:rFonts w:cstheme="minorHAnsi"/>
              <w:sz w:val="23"/>
              <w:szCs w:val="23"/>
            </w:rPr>
            <w:t>Ils peuvent cependant accepter de petits cadeaux symboliques qui leur sont proposés en raison de leur fonction ou de l’exécution de leurs devoirs</w:t>
          </w:r>
          <w:r w:rsidR="00474CC7" w:rsidRPr="00406EBF">
            <w:rPr>
              <w:rFonts w:cstheme="minorHAnsi"/>
              <w:sz w:val="23"/>
              <w:szCs w:val="23"/>
            </w:rPr>
            <w:t> »</w:t>
          </w:r>
          <w:r w:rsidRPr="00406EBF">
            <w:rPr>
              <w:rFonts w:cstheme="minorHAnsi"/>
              <w:sz w:val="23"/>
              <w:szCs w:val="23"/>
            </w:rPr>
            <w:t>.</w:t>
          </w:r>
          <w:r w:rsidR="00474CC7" w:rsidRPr="00406EBF">
            <w:rPr>
              <w:rFonts w:cstheme="minorHAnsi"/>
              <w:sz w:val="23"/>
              <w:szCs w:val="23"/>
            </w:rPr>
            <w:t xml:space="preserve"> </w:t>
          </w:r>
          <w:r w:rsidR="001F69EC">
            <w:rPr>
              <w:rFonts w:cstheme="minorHAnsi"/>
              <w:sz w:val="23"/>
              <w:szCs w:val="23"/>
            </w:rPr>
            <w:t>L’article 130.3 de la LPI ne prévoit, par contre, aucune exception à l’interdiction d’accepter des dons, gratifications et avantages.</w:t>
          </w:r>
        </w:p>
        <w:p w14:paraId="70659383" w14:textId="77777777" w:rsidR="004F1262" w:rsidRPr="00406EBF" w:rsidRDefault="004F1262" w:rsidP="004F1262">
          <w:pPr>
            <w:tabs>
              <w:tab w:val="left" w:pos="709"/>
            </w:tabs>
            <w:spacing w:line="240" w:lineRule="auto"/>
            <w:jc w:val="both"/>
            <w:rPr>
              <w:rFonts w:cstheme="minorHAnsi"/>
              <w:sz w:val="23"/>
              <w:szCs w:val="23"/>
            </w:rPr>
          </w:pPr>
        </w:p>
        <w:p w14:paraId="03D9068C" w14:textId="5B6D4910" w:rsidR="00B7114C" w:rsidRPr="00406EBF" w:rsidRDefault="00474CC7" w:rsidP="00436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Une</w:t>
          </w:r>
          <w:r w:rsidR="00B7114C" w:rsidRPr="00406EBF">
            <w:rPr>
              <w:rFonts w:cstheme="minorHAnsi"/>
              <w:sz w:val="23"/>
              <w:szCs w:val="23"/>
            </w:rPr>
            <w:t xml:space="preserve"> note sur les missions à l’étranger </w:t>
          </w:r>
          <w:r w:rsidR="004F1262" w:rsidRPr="00406EBF">
            <w:rPr>
              <w:rFonts w:cstheme="minorHAnsi"/>
              <w:sz w:val="23"/>
              <w:szCs w:val="23"/>
            </w:rPr>
            <w:t xml:space="preserve">renvoie </w:t>
          </w:r>
          <w:r w:rsidR="009C51F2">
            <w:rPr>
              <w:rFonts w:cstheme="minorHAnsi"/>
              <w:sz w:val="23"/>
              <w:szCs w:val="23"/>
            </w:rPr>
            <w:t>au point</w:t>
          </w:r>
          <w:r w:rsidR="004F1262" w:rsidRPr="00406EBF">
            <w:rPr>
              <w:rFonts w:cstheme="minorHAnsi"/>
              <w:sz w:val="23"/>
              <w:szCs w:val="23"/>
            </w:rPr>
            <w:t xml:space="preserve"> 26 du Code et pose </w:t>
          </w:r>
          <w:r w:rsidRPr="00406EBF">
            <w:rPr>
              <w:rFonts w:cstheme="minorHAnsi"/>
              <w:sz w:val="23"/>
              <w:szCs w:val="23"/>
            </w:rPr>
            <w:t xml:space="preserve">que des cadeaux symboliques peuvent être donnés ou offerts. </w:t>
          </w:r>
          <w:r w:rsidR="004F1262" w:rsidRPr="00406EBF">
            <w:rPr>
              <w:rFonts w:cstheme="minorHAnsi"/>
              <w:sz w:val="23"/>
              <w:szCs w:val="23"/>
            </w:rPr>
            <w:t>Cette note précise que le code de déontologie ne définit pas la notion de cadeau symbolique, ni de valeur de référence. Elle renvoie pour des exemples de cadeaux symboliques à la R</w:t>
          </w:r>
          <w:r w:rsidR="00B7114C" w:rsidRPr="00406EBF">
            <w:rPr>
              <w:rFonts w:cstheme="minorHAnsi"/>
              <w:sz w:val="23"/>
              <w:szCs w:val="23"/>
            </w:rPr>
            <w:t xml:space="preserve">ecommandation </w:t>
          </w:r>
          <w:r w:rsidR="004F1262" w:rsidRPr="00406EBF">
            <w:rPr>
              <w:rFonts w:cstheme="minorHAnsi"/>
              <w:sz w:val="23"/>
              <w:szCs w:val="23"/>
            </w:rPr>
            <w:t xml:space="preserve">No. </w:t>
          </w:r>
          <w:r w:rsidR="00B7114C" w:rsidRPr="00406EBF">
            <w:rPr>
              <w:rFonts w:cstheme="minorHAnsi"/>
              <w:sz w:val="23"/>
              <w:szCs w:val="23"/>
            </w:rPr>
            <w:t xml:space="preserve">R(2000)10 du </w:t>
          </w:r>
          <w:r w:rsidR="004F1262" w:rsidRPr="00406EBF">
            <w:rPr>
              <w:rFonts w:cstheme="minorHAnsi"/>
              <w:sz w:val="23"/>
              <w:szCs w:val="23"/>
            </w:rPr>
            <w:t>C</w:t>
          </w:r>
          <w:r w:rsidR="00B7114C" w:rsidRPr="00406EBF">
            <w:rPr>
              <w:rFonts w:cstheme="minorHAnsi"/>
              <w:sz w:val="23"/>
              <w:szCs w:val="23"/>
            </w:rPr>
            <w:t>onseil de l’Europe sur les codes de conduite pour les agents publics</w:t>
          </w:r>
          <w:r w:rsidR="004F1262" w:rsidRPr="00406EBF">
            <w:rPr>
              <w:rFonts w:cstheme="minorHAnsi"/>
              <w:sz w:val="23"/>
              <w:szCs w:val="23"/>
            </w:rPr>
            <w:t>. La note prévoit aussi que certains cadeaux de plus grande valeur peuvent être offerts ou reçus pour des raisons culturelles, protocolaires ou diplomatiques. Lorsque de tels cadeaux ne peuvent être refusés de manière diplomatique, ils doivent être déclarés par écrit et sont inventoriés et conservés au niveau de la direction générale concernée, du service social ou du centre historique de la police.</w:t>
          </w:r>
          <w:r w:rsidR="00362DEA" w:rsidRPr="00406EBF">
            <w:rPr>
              <w:rFonts w:cstheme="minorHAnsi"/>
              <w:sz w:val="23"/>
              <w:szCs w:val="23"/>
            </w:rPr>
            <w:t xml:space="preserve"> Enfin, en cas de doute sur l’attitude à avoir, la problématique peut être soumise pour avis au Service CG/Intégrité.</w:t>
          </w:r>
        </w:p>
        <w:p w14:paraId="37DCE960" w14:textId="77777777" w:rsidR="003169FA" w:rsidRPr="00406EBF" w:rsidRDefault="003169FA" w:rsidP="003169FA">
          <w:pPr>
            <w:pStyle w:val="Paragraphedeliste"/>
            <w:rPr>
              <w:rFonts w:cstheme="minorHAnsi"/>
              <w:sz w:val="23"/>
              <w:szCs w:val="23"/>
            </w:rPr>
          </w:pPr>
        </w:p>
        <w:p w14:paraId="30F1CA6A" w14:textId="69486B04" w:rsidR="003169FA" w:rsidRPr="00406EBF" w:rsidRDefault="003169FA" w:rsidP="00436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L’EEG constate que la note sur les missions à l’étranger est plus complète </w:t>
          </w:r>
          <w:r w:rsidR="009D4B31" w:rsidRPr="00406EBF">
            <w:rPr>
              <w:rFonts w:cstheme="minorHAnsi"/>
              <w:sz w:val="23"/>
              <w:szCs w:val="23"/>
            </w:rPr>
            <w:t>sur la question des cadeaux que le code de déontologie</w:t>
          </w:r>
          <w:r w:rsidR="00962BCE" w:rsidRPr="00406EBF">
            <w:rPr>
              <w:rFonts w:cstheme="minorHAnsi"/>
              <w:sz w:val="23"/>
              <w:szCs w:val="23"/>
            </w:rPr>
            <w:t>, bien que son champ d’application soit plus restreint</w:t>
          </w:r>
          <w:r w:rsidR="009D4B31" w:rsidRPr="00406EBF">
            <w:rPr>
              <w:rFonts w:cstheme="minorHAnsi"/>
              <w:sz w:val="23"/>
              <w:szCs w:val="23"/>
            </w:rPr>
            <w:t xml:space="preserve">. </w:t>
          </w:r>
          <w:r w:rsidR="00962BCE" w:rsidRPr="00406EBF">
            <w:rPr>
              <w:rFonts w:cstheme="minorHAnsi"/>
              <w:sz w:val="23"/>
              <w:szCs w:val="23"/>
            </w:rPr>
            <w:t xml:space="preserve">Les idées qu’elle contient mériteraient donc de trouver leur place dans le futur code de déontologie - </w:t>
          </w:r>
          <w:r w:rsidR="00962BCE" w:rsidRPr="004409F8">
            <w:rPr>
              <w:rFonts w:cstheme="minorHAnsi"/>
              <w:sz w:val="23"/>
              <w:szCs w:val="23"/>
            </w:rPr>
            <w:t xml:space="preserve">et son commentaire - mis à jour. L’EEG renvoie </w:t>
          </w:r>
          <w:r w:rsidR="00E25DEB" w:rsidRPr="004409F8">
            <w:rPr>
              <w:rFonts w:cstheme="minorHAnsi"/>
              <w:sz w:val="23"/>
              <w:szCs w:val="23"/>
            </w:rPr>
            <w:t xml:space="preserve">à ce sujet </w:t>
          </w:r>
          <w:r w:rsidR="00962BCE" w:rsidRPr="004409F8">
            <w:rPr>
              <w:rFonts w:cstheme="minorHAnsi"/>
              <w:sz w:val="23"/>
              <w:szCs w:val="23"/>
            </w:rPr>
            <w:t>à sa recommandation au paragraphe</w:t>
          </w:r>
          <w:r w:rsidR="007F2679" w:rsidRPr="004409F8">
            <w:rPr>
              <w:rFonts w:cstheme="minorHAnsi"/>
              <w:sz w:val="23"/>
              <w:szCs w:val="23"/>
            </w:rPr>
            <w:t xml:space="preserve"> 16</w:t>
          </w:r>
          <w:r w:rsidR="0019274D" w:rsidRPr="004409F8">
            <w:rPr>
              <w:rFonts w:cstheme="minorHAnsi"/>
              <w:sz w:val="23"/>
              <w:szCs w:val="23"/>
            </w:rPr>
            <w:t>6</w:t>
          </w:r>
          <w:r w:rsidR="007F2679" w:rsidRPr="004409F8">
            <w:rPr>
              <w:rFonts w:cstheme="minorHAnsi"/>
              <w:sz w:val="23"/>
              <w:szCs w:val="23"/>
            </w:rPr>
            <w:t>.</w:t>
          </w:r>
          <w:r w:rsidR="00962BCE" w:rsidRPr="00406EBF">
            <w:rPr>
              <w:rFonts w:cstheme="minorHAnsi"/>
              <w:sz w:val="23"/>
              <w:szCs w:val="23"/>
            </w:rPr>
            <w:t xml:space="preserve"> </w:t>
          </w:r>
          <w:r w:rsidR="009D4B31" w:rsidRPr="00406EBF">
            <w:rPr>
              <w:rFonts w:cstheme="minorHAnsi"/>
              <w:sz w:val="23"/>
              <w:szCs w:val="23"/>
            </w:rPr>
            <w:t>E</w:t>
          </w:r>
          <w:r w:rsidR="00962BCE" w:rsidRPr="00406EBF">
            <w:rPr>
              <w:rFonts w:cstheme="minorHAnsi"/>
              <w:sz w:val="23"/>
              <w:szCs w:val="23"/>
            </w:rPr>
            <w:t>n outre, la note permet, dans certaines circonstances,</w:t>
          </w:r>
          <w:r w:rsidR="009D4B31" w:rsidRPr="00406EBF">
            <w:rPr>
              <w:rFonts w:cstheme="minorHAnsi"/>
              <w:sz w:val="23"/>
              <w:szCs w:val="23"/>
            </w:rPr>
            <w:t xml:space="preserve"> l’acceptation et la déclaration de cadeaux de plus grande valeur que des cadeaux symboliques</w:t>
          </w:r>
          <w:r w:rsidR="00962BCE" w:rsidRPr="00406EBF">
            <w:rPr>
              <w:rFonts w:cstheme="minorHAnsi"/>
              <w:sz w:val="23"/>
              <w:szCs w:val="23"/>
            </w:rPr>
            <w:t xml:space="preserve">, ce dont le code de déontologie ne fait pas mention. </w:t>
          </w:r>
          <w:r w:rsidR="001F69EC">
            <w:rPr>
              <w:rFonts w:cstheme="minorHAnsi"/>
              <w:sz w:val="23"/>
              <w:szCs w:val="23"/>
            </w:rPr>
            <w:t xml:space="preserve">La LPI, quant à elle, ne prévoit aucune exception à l’interdiction d’acceptation des cadeaux. </w:t>
          </w:r>
          <w:r w:rsidR="00962BCE" w:rsidRPr="00406EBF">
            <w:rPr>
              <w:rFonts w:cstheme="minorHAnsi"/>
              <w:sz w:val="23"/>
              <w:szCs w:val="23"/>
            </w:rPr>
            <w:t xml:space="preserve">Les textes devraient être harmonisés sur ce point. Enfin, les règles applicables devraient être complétées sur certains points, comme la question de savoir qui détermine si un cadeau est symbolique. </w:t>
          </w:r>
          <w:r w:rsidR="009D4B31" w:rsidRPr="00406EBF">
            <w:rPr>
              <w:rFonts w:cstheme="minorHAnsi"/>
              <w:sz w:val="23"/>
              <w:szCs w:val="23"/>
            </w:rPr>
            <w:t xml:space="preserve"> </w:t>
          </w:r>
          <w:r w:rsidR="00962BCE" w:rsidRPr="00406EBF">
            <w:rPr>
              <w:rFonts w:cstheme="minorHAnsi"/>
              <w:sz w:val="23"/>
              <w:szCs w:val="23"/>
            </w:rPr>
            <w:t>L’ajout de critères quantitatifs, même à titre indicatif</w:t>
          </w:r>
          <w:r w:rsidR="00E25DEB" w:rsidRPr="00406EBF">
            <w:rPr>
              <w:rFonts w:cstheme="minorHAnsi"/>
              <w:sz w:val="23"/>
              <w:szCs w:val="23"/>
            </w:rPr>
            <w:t xml:space="preserve">, et de la procédure à suivre pour déclarer et évaluer un cadeau seraient également bienvenus. </w:t>
          </w:r>
        </w:p>
        <w:p w14:paraId="46EF035F" w14:textId="77777777" w:rsidR="00B7114C" w:rsidRPr="00406EBF" w:rsidRDefault="00B7114C" w:rsidP="00B7114C">
          <w:pPr>
            <w:tabs>
              <w:tab w:val="left" w:pos="709"/>
            </w:tabs>
            <w:spacing w:line="240" w:lineRule="auto"/>
            <w:jc w:val="both"/>
            <w:rPr>
              <w:rFonts w:cstheme="minorHAnsi"/>
              <w:sz w:val="23"/>
              <w:szCs w:val="23"/>
            </w:rPr>
          </w:pPr>
        </w:p>
        <w:p w14:paraId="5A613C8F"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54" w:name="_Toc2777429"/>
          <w:bookmarkStart w:id="155" w:name="_Toc21339602"/>
          <w:r w:rsidRPr="00406EBF">
            <w:rPr>
              <w:rFonts w:asciiTheme="minorHAnsi" w:hAnsiTheme="minorHAnsi" w:cstheme="minorHAnsi"/>
              <w:b w:val="0"/>
              <w:i/>
              <w:color w:val="auto"/>
              <w:sz w:val="23"/>
              <w:szCs w:val="23"/>
            </w:rPr>
            <w:t>Utilisation abusive de ressources publiques</w:t>
          </w:r>
          <w:bookmarkEnd w:id="154"/>
          <w:bookmarkEnd w:id="155"/>
        </w:p>
        <w:p w14:paraId="5F5D2D1D" w14:textId="77777777" w:rsidR="00FF2287" w:rsidRPr="00406EBF" w:rsidRDefault="00FF2287" w:rsidP="001878CC">
          <w:pPr>
            <w:keepNext/>
            <w:spacing w:line="240" w:lineRule="auto"/>
            <w:jc w:val="both"/>
            <w:rPr>
              <w:rFonts w:cstheme="minorHAnsi"/>
              <w:sz w:val="23"/>
              <w:szCs w:val="23"/>
            </w:rPr>
          </w:pPr>
        </w:p>
        <w:p w14:paraId="14989258" w14:textId="305971FD" w:rsidR="00FF2287" w:rsidRPr="00406EBF" w:rsidRDefault="009C51F2" w:rsidP="00DB5A1A">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Le point</w:t>
          </w:r>
          <w:r w:rsidRPr="00406EBF">
            <w:rPr>
              <w:rFonts w:cstheme="minorHAnsi"/>
              <w:sz w:val="23"/>
              <w:szCs w:val="23"/>
            </w:rPr>
            <w:t xml:space="preserve"> </w:t>
          </w:r>
          <w:r w:rsidR="00DB5A1A" w:rsidRPr="00406EBF">
            <w:rPr>
              <w:rFonts w:cstheme="minorHAnsi"/>
              <w:sz w:val="23"/>
              <w:szCs w:val="23"/>
            </w:rPr>
            <w:t>27 du Code de déontologie précise que</w:t>
          </w:r>
          <w:r w:rsidR="005A2133" w:rsidRPr="00406EBF">
            <w:rPr>
              <w:rFonts w:cstheme="minorHAnsi"/>
              <w:sz w:val="23"/>
              <w:szCs w:val="23"/>
            </w:rPr>
            <w:t> :</w:t>
          </w:r>
          <w:r w:rsidR="00DB5A1A" w:rsidRPr="00406EBF">
            <w:rPr>
              <w:rFonts w:cstheme="minorHAnsi"/>
              <w:sz w:val="23"/>
              <w:szCs w:val="23"/>
            </w:rPr>
            <w:t xml:space="preserve"> « Sans préjudice d’une directive spécifique en la matière, les membres du personnel se gardent de faire usage à des fins privées des moyens tels véhicules, matériel ou logiciels qui sont mis à leur disposition par l’organisation policière. »</w:t>
          </w:r>
          <w:r w:rsidR="001F69EC">
            <w:rPr>
              <w:rFonts w:cstheme="minorHAnsi"/>
              <w:sz w:val="23"/>
              <w:szCs w:val="23"/>
            </w:rPr>
            <w:t xml:space="preserve"> L</w:t>
          </w:r>
          <w:r>
            <w:rPr>
              <w:rFonts w:cstheme="minorHAnsi"/>
              <w:sz w:val="23"/>
              <w:szCs w:val="23"/>
            </w:rPr>
            <w:t>e point</w:t>
          </w:r>
          <w:r w:rsidR="001F69EC">
            <w:rPr>
              <w:rFonts w:cstheme="minorHAnsi"/>
              <w:sz w:val="23"/>
              <w:szCs w:val="23"/>
            </w:rPr>
            <w:t xml:space="preserve"> 42 du Code prévoit, quant à lui, que : « les membres du personnel prennent soin, en bon père de famille, du matériel, des pièces d’équipement, des véhicules, des locaux et des logiciels qui sont mis à leur disposition. Dans cet esprit, ils préviennent les dégradations et évitent les frais inutiles ainsi que le gaspillage. </w:t>
          </w:r>
          <w:r w:rsidR="00BB2F20">
            <w:rPr>
              <w:rFonts w:cstheme="minorHAnsi"/>
              <w:sz w:val="23"/>
              <w:szCs w:val="23"/>
            </w:rPr>
            <w:t>Ils prennent les dispositions nécessaires pour éviter le vol, l’usage abusif ou la dégradation du matériel, des pièces d’équipement, des véhicules et des armes de service et toute intrusion dans les locaux des services de police ainsi que dans les logiciels ».</w:t>
          </w:r>
        </w:p>
        <w:p w14:paraId="3C330785" w14:textId="77777777" w:rsidR="00FF2287" w:rsidRPr="00406EBF" w:rsidRDefault="00FF2287" w:rsidP="001878CC">
          <w:pPr>
            <w:pStyle w:val="Titre3"/>
            <w:keepNext w:val="0"/>
            <w:keepLines w:val="0"/>
            <w:spacing w:before="0" w:line="240" w:lineRule="auto"/>
            <w:jc w:val="both"/>
            <w:rPr>
              <w:rFonts w:asciiTheme="minorHAnsi" w:hAnsiTheme="minorHAnsi" w:cstheme="minorHAnsi"/>
              <w:color w:val="auto"/>
              <w:sz w:val="23"/>
              <w:szCs w:val="23"/>
            </w:rPr>
          </w:pPr>
        </w:p>
        <w:p w14:paraId="0CB45315"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56" w:name="_Toc342554316"/>
          <w:bookmarkStart w:id="157" w:name="_Toc342640991"/>
          <w:bookmarkStart w:id="158" w:name="_Toc342554315"/>
          <w:bookmarkStart w:id="159" w:name="_Toc342640990"/>
          <w:bookmarkStart w:id="160" w:name="_Toc2777430"/>
          <w:bookmarkStart w:id="161" w:name="_Toc21339603"/>
          <w:r w:rsidRPr="00406EBF">
            <w:rPr>
              <w:rFonts w:asciiTheme="minorHAnsi" w:hAnsiTheme="minorHAnsi" w:cstheme="minorHAnsi"/>
              <w:b w:val="0"/>
              <w:i/>
              <w:color w:val="auto"/>
              <w:sz w:val="23"/>
              <w:szCs w:val="23"/>
            </w:rPr>
            <w:t xml:space="preserve">Contacts avec des tiers, </w:t>
          </w:r>
          <w:bookmarkEnd w:id="156"/>
          <w:bookmarkEnd w:id="157"/>
          <w:r w:rsidRPr="00406EBF">
            <w:rPr>
              <w:rFonts w:asciiTheme="minorHAnsi" w:hAnsiTheme="minorHAnsi" w:cstheme="minorHAnsi"/>
              <w:b w:val="0"/>
              <w:i/>
              <w:color w:val="auto"/>
              <w:sz w:val="23"/>
              <w:szCs w:val="23"/>
            </w:rPr>
            <w:t xml:space="preserve">données </w:t>
          </w:r>
          <w:bookmarkEnd w:id="158"/>
          <w:bookmarkEnd w:id="159"/>
          <w:r w:rsidRPr="00406EBF">
            <w:rPr>
              <w:rFonts w:asciiTheme="minorHAnsi" w:hAnsiTheme="minorHAnsi" w:cstheme="minorHAnsi"/>
              <w:b w:val="0"/>
              <w:i/>
              <w:color w:val="auto"/>
              <w:sz w:val="23"/>
              <w:szCs w:val="23"/>
            </w:rPr>
            <w:t>confidentielles</w:t>
          </w:r>
          <w:bookmarkEnd w:id="160"/>
          <w:bookmarkEnd w:id="161"/>
        </w:p>
        <w:p w14:paraId="7CE41754" w14:textId="77777777" w:rsidR="00FF2287" w:rsidRPr="00406EBF" w:rsidRDefault="00FF2287" w:rsidP="00B302BC">
          <w:pPr>
            <w:tabs>
              <w:tab w:val="left" w:pos="709"/>
            </w:tabs>
            <w:spacing w:line="240" w:lineRule="auto"/>
            <w:jc w:val="both"/>
            <w:rPr>
              <w:rFonts w:cstheme="minorHAnsi"/>
              <w:sz w:val="23"/>
              <w:szCs w:val="23"/>
            </w:rPr>
          </w:pPr>
        </w:p>
        <w:p w14:paraId="555FF563" w14:textId="77777777" w:rsidR="005A2133" w:rsidRPr="00406EBF" w:rsidRDefault="005A2133" w:rsidP="00B302B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Il n’existe aucune disposition spécifique réglant les contacts avec des tiers hors des procédures officielles.</w:t>
          </w:r>
        </w:p>
        <w:p w14:paraId="5D55CB2D" w14:textId="77777777" w:rsidR="005A2133" w:rsidRPr="00406EBF" w:rsidRDefault="005A2133" w:rsidP="005A2133">
          <w:pPr>
            <w:tabs>
              <w:tab w:val="left" w:pos="709"/>
            </w:tabs>
            <w:spacing w:line="240" w:lineRule="auto"/>
            <w:jc w:val="both"/>
            <w:rPr>
              <w:rFonts w:cstheme="minorHAnsi"/>
              <w:sz w:val="23"/>
              <w:szCs w:val="23"/>
            </w:rPr>
          </w:pPr>
        </w:p>
        <w:p w14:paraId="3F6072FC" w14:textId="4EC0DAA2" w:rsidR="005A2133" w:rsidRPr="00406EBF" w:rsidRDefault="005A2133" w:rsidP="00B302B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policiers sont tenus au secret professionnel, au secret de l’enquête et au devoir de discrétion (</w:t>
          </w:r>
          <w:r w:rsidR="009C51F2">
            <w:rPr>
              <w:rFonts w:cstheme="minorHAnsi"/>
              <w:sz w:val="23"/>
              <w:szCs w:val="23"/>
            </w:rPr>
            <w:t>points</w:t>
          </w:r>
          <w:r w:rsidRPr="00406EBF">
            <w:rPr>
              <w:rFonts w:cstheme="minorHAnsi"/>
              <w:sz w:val="23"/>
              <w:szCs w:val="23"/>
            </w:rPr>
            <w:t xml:space="preserve"> 34 </w:t>
          </w:r>
          <w:r w:rsidR="00BB2F20">
            <w:rPr>
              <w:rFonts w:cstheme="minorHAnsi"/>
              <w:sz w:val="23"/>
              <w:szCs w:val="23"/>
            </w:rPr>
            <w:t xml:space="preserve">à 37 et </w:t>
          </w:r>
          <w:r w:rsidR="009C51F2">
            <w:rPr>
              <w:rFonts w:cstheme="minorHAnsi"/>
              <w:sz w:val="23"/>
              <w:szCs w:val="23"/>
            </w:rPr>
            <w:t>point</w:t>
          </w:r>
          <w:r w:rsidR="00BB2F20">
            <w:rPr>
              <w:rFonts w:cstheme="minorHAnsi"/>
              <w:sz w:val="23"/>
              <w:szCs w:val="23"/>
            </w:rPr>
            <w:t xml:space="preserve"> 54 </w:t>
          </w:r>
          <w:r w:rsidRPr="00406EBF">
            <w:rPr>
              <w:rFonts w:cstheme="minorHAnsi"/>
              <w:sz w:val="23"/>
              <w:szCs w:val="23"/>
            </w:rPr>
            <w:t>du Code de déontologie</w:t>
          </w:r>
          <w:r w:rsidR="00BB2F20">
            <w:rPr>
              <w:rFonts w:cstheme="minorHAnsi"/>
              <w:sz w:val="23"/>
              <w:szCs w:val="23"/>
            </w:rPr>
            <w:t xml:space="preserve">, art. 131 de la LPI, art. 48 de la loi </w:t>
          </w:r>
          <w:r w:rsidR="00BB2F20">
            <w:rPr>
              <w:rFonts w:cstheme="minorHAnsi"/>
              <w:sz w:val="23"/>
              <w:szCs w:val="23"/>
            </w:rPr>
            <w:lastRenderedPageBreak/>
            <w:t>du 26 avril 2002 relative aux éléments essentiels du statut des membres du personnel des services de police, art. 28quinquies, §1 et 57, §1 du Code d’instruction criminelle et art. 458 du Code pénal</w:t>
          </w:r>
          <w:r w:rsidRPr="00406EBF">
            <w:rPr>
              <w:rFonts w:cstheme="minorHAnsi"/>
              <w:sz w:val="23"/>
              <w:szCs w:val="23"/>
            </w:rPr>
            <w:t xml:space="preserve">). </w:t>
          </w:r>
        </w:p>
        <w:p w14:paraId="72280E20" w14:textId="77777777" w:rsidR="005A2133" w:rsidRPr="00406EBF" w:rsidRDefault="005A2133" w:rsidP="005A2133">
          <w:pPr>
            <w:tabs>
              <w:tab w:val="left" w:pos="709"/>
            </w:tabs>
            <w:spacing w:line="240" w:lineRule="auto"/>
            <w:jc w:val="both"/>
            <w:rPr>
              <w:rFonts w:cstheme="minorHAnsi"/>
              <w:sz w:val="23"/>
              <w:szCs w:val="23"/>
            </w:rPr>
          </w:pPr>
        </w:p>
        <w:p w14:paraId="05B2E700" w14:textId="77777777" w:rsidR="00535E34" w:rsidRPr="00406EBF" w:rsidRDefault="00535E34" w:rsidP="001878CC">
          <w:pPr>
            <w:pStyle w:val="Titre3"/>
            <w:tabs>
              <w:tab w:val="left" w:pos="709"/>
            </w:tabs>
            <w:spacing w:before="0" w:line="240" w:lineRule="auto"/>
            <w:rPr>
              <w:rFonts w:asciiTheme="minorHAnsi" w:hAnsiTheme="minorHAnsi" w:cstheme="minorHAnsi"/>
              <w:b w:val="0"/>
              <w:i/>
              <w:color w:val="auto"/>
              <w:sz w:val="23"/>
              <w:szCs w:val="23"/>
            </w:rPr>
          </w:pPr>
          <w:bookmarkStart w:id="162" w:name="_Toc2777431"/>
          <w:bookmarkStart w:id="163" w:name="_Toc21339604"/>
          <w:r w:rsidRPr="00406EBF">
            <w:rPr>
              <w:rFonts w:asciiTheme="minorHAnsi" w:hAnsiTheme="minorHAnsi" w:cstheme="minorHAnsi"/>
              <w:b w:val="0"/>
              <w:i/>
              <w:color w:val="auto"/>
              <w:sz w:val="23"/>
              <w:szCs w:val="23"/>
            </w:rPr>
            <w:t>Restrictions après la cessation de fonctions</w:t>
          </w:r>
          <w:bookmarkEnd w:id="162"/>
          <w:bookmarkEnd w:id="163"/>
        </w:p>
        <w:p w14:paraId="3B54AAC4" w14:textId="77777777" w:rsidR="007C316A" w:rsidRPr="00406EBF" w:rsidRDefault="007C316A" w:rsidP="001878CC">
          <w:pPr>
            <w:spacing w:line="240" w:lineRule="auto"/>
            <w:jc w:val="both"/>
            <w:rPr>
              <w:rFonts w:cstheme="minorHAnsi"/>
              <w:sz w:val="23"/>
              <w:szCs w:val="23"/>
            </w:rPr>
          </w:pPr>
        </w:p>
        <w:p w14:paraId="3A27EAC9" w14:textId="57906712" w:rsidR="00FF6036" w:rsidRPr="00406EBF" w:rsidRDefault="003F33EF" w:rsidP="003F33EF">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Une période de latence de cinq ans s’applique à l’exercice de la profession de détective privé pour les anciens membres des services de police (a</w:t>
          </w:r>
          <w:r w:rsidR="00B302BC" w:rsidRPr="00406EBF">
            <w:rPr>
              <w:rFonts w:cstheme="minorHAnsi"/>
              <w:sz w:val="23"/>
              <w:szCs w:val="23"/>
            </w:rPr>
            <w:t>rt. 3, §1, 5°, de la loi du 19 juillet 1991 organisant la profession de détective privé</w:t>
          </w:r>
          <w:r w:rsidRPr="00406EBF">
            <w:rPr>
              <w:rFonts w:cstheme="minorHAnsi"/>
              <w:sz w:val="23"/>
              <w:szCs w:val="23"/>
            </w:rPr>
            <w:t>)</w:t>
          </w:r>
          <w:r w:rsidR="00B302BC" w:rsidRPr="00406EBF">
            <w:rPr>
              <w:rFonts w:cstheme="minorHAnsi"/>
              <w:sz w:val="23"/>
              <w:szCs w:val="23"/>
            </w:rPr>
            <w:t xml:space="preserve">. </w:t>
          </w:r>
          <w:r w:rsidRPr="00406EBF">
            <w:rPr>
              <w:rFonts w:cstheme="minorHAnsi"/>
              <w:sz w:val="23"/>
              <w:szCs w:val="23"/>
            </w:rPr>
            <w:t>De même, les anciens membres de la police sont soumis à une période de latence de trois ans pour l’exercice de fonctions dans la sécurité privée (a</w:t>
          </w:r>
          <w:r w:rsidR="00B302BC" w:rsidRPr="00406EBF">
            <w:rPr>
              <w:rFonts w:cstheme="minorHAnsi"/>
              <w:sz w:val="23"/>
              <w:szCs w:val="23"/>
            </w:rPr>
            <w:t>rt. 61, 11°, de la loi du 2 octobre 2017 réglementant la sécurité privée et particulière</w:t>
          </w:r>
          <w:r w:rsidRPr="00406EBF">
            <w:rPr>
              <w:rFonts w:cstheme="minorHAnsi"/>
              <w:sz w:val="23"/>
              <w:szCs w:val="23"/>
            </w:rPr>
            <w:t>)</w:t>
          </w:r>
          <w:r w:rsidR="00B302BC" w:rsidRPr="00406EBF">
            <w:rPr>
              <w:rFonts w:cstheme="minorHAnsi"/>
              <w:sz w:val="23"/>
              <w:szCs w:val="23"/>
            </w:rPr>
            <w:t xml:space="preserve">. </w:t>
          </w:r>
          <w:r w:rsidR="00BB2F20">
            <w:rPr>
              <w:rFonts w:cstheme="minorHAnsi"/>
              <w:sz w:val="23"/>
              <w:szCs w:val="23"/>
            </w:rPr>
            <w:t>Le secret professionnel continue à s’appliquer après la cessation de fonctions (</w:t>
          </w:r>
          <w:r w:rsidR="009C51F2">
            <w:rPr>
              <w:rFonts w:cstheme="minorHAnsi"/>
              <w:sz w:val="23"/>
              <w:szCs w:val="23"/>
            </w:rPr>
            <w:t>point</w:t>
          </w:r>
          <w:r w:rsidR="00BB2F20">
            <w:rPr>
              <w:rFonts w:cstheme="minorHAnsi"/>
              <w:sz w:val="23"/>
              <w:szCs w:val="23"/>
            </w:rPr>
            <w:t xml:space="preserve"> 34 du Code de déontologie)</w:t>
          </w:r>
        </w:p>
        <w:p w14:paraId="2866E2BC" w14:textId="77777777" w:rsidR="003F33EF" w:rsidRPr="00406EBF" w:rsidRDefault="003F33EF" w:rsidP="003F33EF">
          <w:pPr>
            <w:tabs>
              <w:tab w:val="left" w:pos="709"/>
            </w:tabs>
            <w:spacing w:line="240" w:lineRule="auto"/>
            <w:jc w:val="both"/>
            <w:rPr>
              <w:rFonts w:cstheme="minorHAnsi"/>
              <w:sz w:val="23"/>
              <w:szCs w:val="23"/>
            </w:rPr>
          </w:pPr>
        </w:p>
        <w:p w14:paraId="0E15053D" w14:textId="77777777" w:rsidR="00535E34" w:rsidRPr="00406EBF" w:rsidRDefault="00535E34" w:rsidP="001878CC">
          <w:pPr>
            <w:pStyle w:val="Titre2"/>
            <w:tabs>
              <w:tab w:val="left" w:pos="709"/>
            </w:tabs>
            <w:spacing w:before="0" w:line="240" w:lineRule="auto"/>
            <w:rPr>
              <w:rFonts w:asciiTheme="minorHAnsi" w:hAnsiTheme="minorHAnsi"/>
              <w:color w:val="auto"/>
              <w:sz w:val="23"/>
              <w:szCs w:val="23"/>
              <w:u w:val="single"/>
            </w:rPr>
          </w:pPr>
          <w:bookmarkStart w:id="164" w:name="_Toc2777432"/>
          <w:bookmarkStart w:id="165" w:name="_Toc21339605"/>
          <w:r w:rsidRPr="00406EBF">
            <w:rPr>
              <w:rFonts w:asciiTheme="minorHAnsi" w:hAnsiTheme="minorHAnsi"/>
              <w:color w:val="auto"/>
              <w:sz w:val="23"/>
              <w:szCs w:val="23"/>
              <w:u w:val="single"/>
            </w:rPr>
            <w:t>Déclaration de patrimoine, de revenus, de passif et d’intérêts</w:t>
          </w:r>
          <w:bookmarkEnd w:id="164"/>
          <w:bookmarkEnd w:id="165"/>
        </w:p>
        <w:p w14:paraId="5776BED0" w14:textId="77777777" w:rsidR="00535E34" w:rsidRPr="00406EBF" w:rsidRDefault="00535E34" w:rsidP="001878CC">
          <w:pPr>
            <w:tabs>
              <w:tab w:val="left" w:pos="709"/>
            </w:tabs>
            <w:spacing w:line="240" w:lineRule="auto"/>
            <w:jc w:val="both"/>
            <w:rPr>
              <w:rFonts w:cstheme="minorHAnsi"/>
              <w:sz w:val="23"/>
              <w:szCs w:val="23"/>
            </w:rPr>
          </w:pPr>
        </w:p>
        <w:p w14:paraId="0183209C" w14:textId="31BE13CF" w:rsidR="007C316A" w:rsidRDefault="002A73EB"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personnel de la police fédérale n’est pas soumis à des obligations de déclaration de patrimoine, de revenus, de passif et d’intérêts, hormis aux autorités fiscales.</w:t>
          </w:r>
        </w:p>
        <w:p w14:paraId="640AAA50" w14:textId="77777777" w:rsidR="00BB2F20" w:rsidRDefault="00BB2F20" w:rsidP="00BB2F20">
          <w:pPr>
            <w:tabs>
              <w:tab w:val="left" w:pos="709"/>
            </w:tabs>
            <w:spacing w:line="240" w:lineRule="auto"/>
            <w:jc w:val="both"/>
            <w:rPr>
              <w:rFonts w:cstheme="minorHAnsi"/>
              <w:sz w:val="23"/>
              <w:szCs w:val="23"/>
            </w:rPr>
          </w:pPr>
        </w:p>
        <w:p w14:paraId="1E86BB7E" w14:textId="77777777" w:rsidR="00577FE4" w:rsidRPr="00577FE4" w:rsidRDefault="00A34579" w:rsidP="00577FE4">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 xml:space="preserve">L’EEG note que l’obligation de déclaration financière peut jouer un rôle de prévention des risques de corruption dans la police, par exemple pour les postes haut placés ou pour les agents s’occupant de la passation des marchés publics, qui peuvent être plus susceptibles à la corruption. </w:t>
          </w:r>
          <w:r w:rsidR="00577FE4">
            <w:rPr>
              <w:rFonts w:cstheme="minorHAnsi"/>
              <w:sz w:val="23"/>
              <w:szCs w:val="23"/>
            </w:rPr>
            <w:t xml:space="preserve">Il semblerait approprié d’introduire au moins de telle déclarations pour les postes les plus à risque de conflits d’intérêts et de corruption. Par conséquent, </w:t>
          </w:r>
          <w:r w:rsidR="00577FE4">
            <w:rPr>
              <w:rFonts w:cstheme="minorHAnsi"/>
              <w:b/>
              <w:sz w:val="23"/>
              <w:szCs w:val="23"/>
            </w:rPr>
            <w:t xml:space="preserve">le GRECO recommande </w:t>
          </w:r>
          <w:bookmarkStart w:id="166" w:name="_Hlk26528858"/>
          <w:r w:rsidR="00577FE4">
            <w:rPr>
              <w:rFonts w:cstheme="minorHAnsi"/>
              <w:b/>
              <w:sz w:val="23"/>
              <w:szCs w:val="23"/>
            </w:rPr>
            <w:t>d’</w:t>
          </w:r>
          <w:r w:rsidR="00FE3DF6">
            <w:rPr>
              <w:rFonts w:cstheme="minorHAnsi"/>
              <w:b/>
              <w:sz w:val="23"/>
              <w:szCs w:val="23"/>
            </w:rPr>
            <w:t>envisager</w:t>
          </w:r>
          <w:r w:rsidR="00577FE4">
            <w:rPr>
              <w:rFonts w:cstheme="minorHAnsi"/>
              <w:b/>
              <w:sz w:val="23"/>
              <w:szCs w:val="23"/>
            </w:rPr>
            <w:t xml:space="preserve"> d’introduire une obligation de déclaration des avoirs/intérêts vis-à-vis des postes de direction et/ou de certains postes à risques au sein de la police, en vue de l’introduction de telles règles</w:t>
          </w:r>
          <w:bookmarkEnd w:id="166"/>
          <w:r w:rsidR="00577FE4">
            <w:rPr>
              <w:rFonts w:cstheme="minorHAnsi"/>
              <w:b/>
              <w:sz w:val="23"/>
              <w:szCs w:val="23"/>
            </w:rPr>
            <w:t>.</w:t>
          </w:r>
        </w:p>
        <w:p w14:paraId="31D39ACE" w14:textId="77777777" w:rsidR="007C316A" w:rsidRPr="00406EBF" w:rsidRDefault="00577FE4" w:rsidP="00577FE4">
          <w:pPr>
            <w:tabs>
              <w:tab w:val="left" w:pos="709"/>
            </w:tabs>
            <w:spacing w:line="240" w:lineRule="auto"/>
            <w:jc w:val="both"/>
            <w:rPr>
              <w:rFonts w:cstheme="minorHAnsi"/>
              <w:sz w:val="23"/>
              <w:szCs w:val="23"/>
            </w:rPr>
          </w:pPr>
          <w:r w:rsidRPr="00406EBF">
            <w:rPr>
              <w:rFonts w:cstheme="minorHAnsi"/>
              <w:sz w:val="23"/>
              <w:szCs w:val="23"/>
            </w:rPr>
            <w:t xml:space="preserve"> </w:t>
          </w:r>
        </w:p>
        <w:p w14:paraId="1DE6A180" w14:textId="77777777" w:rsidR="007C316A" w:rsidRPr="00406EBF" w:rsidRDefault="007C316A" w:rsidP="001878CC">
          <w:pPr>
            <w:pStyle w:val="Titre2"/>
            <w:tabs>
              <w:tab w:val="left" w:pos="709"/>
            </w:tabs>
            <w:spacing w:before="0" w:line="240" w:lineRule="auto"/>
            <w:rPr>
              <w:rFonts w:asciiTheme="minorHAnsi" w:hAnsiTheme="minorHAnsi"/>
              <w:color w:val="auto"/>
              <w:sz w:val="23"/>
              <w:szCs w:val="23"/>
              <w:u w:val="single"/>
            </w:rPr>
          </w:pPr>
          <w:bookmarkStart w:id="167" w:name="_Toc2777433"/>
          <w:bookmarkStart w:id="168" w:name="_Toc21339606"/>
          <w:r w:rsidRPr="00406EBF">
            <w:rPr>
              <w:rFonts w:asciiTheme="minorHAnsi" w:hAnsiTheme="minorHAnsi"/>
              <w:color w:val="auto"/>
              <w:sz w:val="23"/>
              <w:szCs w:val="23"/>
              <w:u w:val="single"/>
            </w:rPr>
            <w:t>Contrôle et application de la loi</w:t>
          </w:r>
          <w:bookmarkEnd w:id="167"/>
          <w:bookmarkEnd w:id="168"/>
        </w:p>
        <w:p w14:paraId="33CE605D" w14:textId="77777777" w:rsidR="007C316A" w:rsidRPr="00406EBF" w:rsidRDefault="007C316A" w:rsidP="001878CC">
          <w:pPr>
            <w:pStyle w:val="Paragraphedeliste"/>
            <w:keepNext/>
            <w:spacing w:line="240" w:lineRule="auto"/>
            <w:ind w:left="0"/>
            <w:jc w:val="both"/>
            <w:rPr>
              <w:rFonts w:cstheme="minorHAnsi"/>
              <w:sz w:val="23"/>
              <w:szCs w:val="23"/>
            </w:rPr>
          </w:pPr>
        </w:p>
        <w:p w14:paraId="0F539C1A" w14:textId="77777777" w:rsidR="007C316A" w:rsidRPr="00406EBF" w:rsidRDefault="007C316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169" w:name="_Toc2777434"/>
          <w:bookmarkStart w:id="170" w:name="_Toc21339607"/>
          <w:r w:rsidRPr="00406EBF">
            <w:rPr>
              <w:rFonts w:asciiTheme="minorHAnsi" w:hAnsiTheme="minorHAnsi" w:cstheme="minorHAnsi"/>
              <w:b w:val="0"/>
              <w:i/>
              <w:color w:val="auto"/>
              <w:sz w:val="23"/>
              <w:szCs w:val="23"/>
            </w:rPr>
            <w:t>Surveillance et contrôle internes</w:t>
          </w:r>
          <w:bookmarkEnd w:id="169"/>
          <w:bookmarkEnd w:id="170"/>
        </w:p>
        <w:p w14:paraId="15985825" w14:textId="77777777" w:rsidR="007C316A" w:rsidRPr="00406EBF" w:rsidRDefault="007C316A" w:rsidP="001878CC">
          <w:pPr>
            <w:spacing w:line="240" w:lineRule="auto"/>
            <w:jc w:val="both"/>
            <w:rPr>
              <w:rFonts w:cstheme="minorHAnsi"/>
              <w:sz w:val="23"/>
              <w:szCs w:val="23"/>
            </w:rPr>
          </w:pPr>
        </w:p>
        <w:p w14:paraId="107A323D" w14:textId="0A57CF9A" w:rsidR="007C316A" w:rsidRPr="00406EBF" w:rsidRDefault="002E3144"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Outre le contrôle hiérarchique, le contrôle interne incombe au </w:t>
          </w:r>
          <w:r w:rsidR="00A44ED9" w:rsidRPr="00406EBF">
            <w:rPr>
              <w:rFonts w:cstheme="minorHAnsi"/>
              <w:sz w:val="23"/>
              <w:szCs w:val="23"/>
            </w:rPr>
            <w:t xml:space="preserve">service </w:t>
          </w:r>
          <w:r w:rsidR="004D7FB5">
            <w:rPr>
              <w:rFonts w:cstheme="minorHAnsi"/>
              <w:sz w:val="23"/>
              <w:szCs w:val="23"/>
            </w:rPr>
            <w:t xml:space="preserve">de surveillance du </w:t>
          </w:r>
          <w:r w:rsidR="00A44ED9" w:rsidRPr="00406EBF">
            <w:rPr>
              <w:rFonts w:cstheme="minorHAnsi"/>
              <w:sz w:val="23"/>
              <w:szCs w:val="23"/>
            </w:rPr>
            <w:t xml:space="preserve">fonctionnement interne et </w:t>
          </w:r>
          <w:r w:rsidR="004D7FB5">
            <w:rPr>
              <w:rFonts w:cstheme="minorHAnsi"/>
              <w:sz w:val="23"/>
              <w:szCs w:val="23"/>
            </w:rPr>
            <w:t xml:space="preserve">de </w:t>
          </w:r>
          <w:r w:rsidR="000B25FF">
            <w:rPr>
              <w:rFonts w:cstheme="minorHAnsi"/>
              <w:sz w:val="23"/>
              <w:szCs w:val="23"/>
            </w:rPr>
            <w:t xml:space="preserve">la </w:t>
          </w:r>
          <w:r w:rsidR="00A44ED9" w:rsidRPr="00406EBF">
            <w:rPr>
              <w:rFonts w:cstheme="minorHAnsi"/>
              <w:sz w:val="23"/>
              <w:szCs w:val="23"/>
            </w:rPr>
            <w:t xml:space="preserve">qualité (DGR/TIWK), au sein de la Direction générale de la gestion des ressources et de l’information. Ce service, qui existe depuis 2011, souffre d’un sous-effectif important, avec 15 postes pourvus sur un cadre théorique de 26. Seuls trois de ses membres sont des policiers, les autres étant du personnel administratif. </w:t>
          </w:r>
          <w:r w:rsidR="00021D4B" w:rsidRPr="00406EBF">
            <w:rPr>
              <w:rFonts w:cstheme="minorHAnsi"/>
              <w:sz w:val="23"/>
              <w:szCs w:val="23"/>
            </w:rPr>
            <w:t xml:space="preserve">Il traite des dossiers disciplinaires au sein de la police intégrée. Il peut s’autosaisir ou être saisi par les organes externes de contrôle, l’Inspection générale (AIG) et le comité </w:t>
          </w:r>
          <w:r w:rsidR="003E4E16" w:rsidRPr="00406EBF">
            <w:rPr>
              <w:rFonts w:cstheme="minorHAnsi"/>
              <w:sz w:val="23"/>
              <w:szCs w:val="23"/>
            </w:rPr>
            <w:t xml:space="preserve">permanent de contrôle (Comité </w:t>
          </w:r>
          <w:r w:rsidR="00021D4B" w:rsidRPr="00406EBF">
            <w:rPr>
              <w:rFonts w:cstheme="minorHAnsi"/>
              <w:sz w:val="23"/>
              <w:szCs w:val="23"/>
            </w:rPr>
            <w:t>P</w:t>
          </w:r>
          <w:r w:rsidR="003E4E16" w:rsidRPr="00406EBF">
            <w:rPr>
              <w:rFonts w:cstheme="minorHAnsi"/>
              <w:sz w:val="23"/>
              <w:szCs w:val="23"/>
            </w:rPr>
            <w:t>)</w:t>
          </w:r>
          <w:r w:rsidR="00021D4B" w:rsidRPr="00406EBF">
            <w:rPr>
              <w:rFonts w:cstheme="minorHAnsi"/>
              <w:sz w:val="23"/>
              <w:szCs w:val="23"/>
            </w:rPr>
            <w:t>. Il peut mener des enquêtes ou des contrôles sporadiques, mais l’EEG a appris qu’il ne le faisait pas en pratique, du fait de son manque de moyens. Ce service semble se borner à traiter les plaintes reçues et il ne semble même pas pouvoir toutes les traiter. Il n’est pas non plus en mesure de fournir des statistiques sur son activité, alors qu’il existe depuis 2011.</w:t>
          </w:r>
          <w:r w:rsidR="00F477A2" w:rsidRPr="00406EBF">
            <w:rPr>
              <w:rFonts w:cstheme="minorHAnsi"/>
              <w:sz w:val="23"/>
              <w:szCs w:val="23"/>
            </w:rPr>
            <w:t xml:space="preserve"> De l’avis de nombreux interlocuteurs de l’EEG, ce service ne remplit pas sa mission de contrôle interne, ce qui pose un réel problème pour garantir l’intégrité</w:t>
          </w:r>
          <w:r w:rsidR="00C8751C" w:rsidRPr="00406EBF">
            <w:rPr>
              <w:rFonts w:cstheme="minorHAnsi"/>
              <w:sz w:val="23"/>
              <w:szCs w:val="23"/>
            </w:rPr>
            <w:t xml:space="preserve"> de la police fédérale. Il en résulte aussi que la capacité d’enquête judiciaire en milieu policier est absente au niveau fédéral. Elle est déléguée à la police locale ou aux services de contrôle externes. </w:t>
          </w:r>
          <w:r w:rsidR="00D4454A" w:rsidRPr="00406EBF">
            <w:rPr>
              <w:rFonts w:cstheme="minorHAnsi"/>
              <w:sz w:val="23"/>
              <w:szCs w:val="23"/>
            </w:rPr>
            <w:t>L’EEG souligne qu’un service fonctionnel et proactif de contrôle interne est un élément essentiel pour la prévention et la répression de la corruption au sein de la police fédérale</w:t>
          </w:r>
          <w:bookmarkStart w:id="171" w:name="_Hlk22543661"/>
          <w:r w:rsidR="00D4454A" w:rsidRPr="00406EBF">
            <w:rPr>
              <w:rFonts w:cstheme="minorHAnsi"/>
              <w:sz w:val="23"/>
              <w:szCs w:val="23"/>
            </w:rPr>
            <w:t xml:space="preserve">. </w:t>
          </w:r>
          <w:r w:rsidR="004800F4" w:rsidRPr="00406EBF">
            <w:rPr>
              <w:rFonts w:cstheme="minorHAnsi"/>
              <w:sz w:val="23"/>
              <w:szCs w:val="23"/>
            </w:rPr>
            <w:t xml:space="preserve">Par conséquent, </w:t>
          </w:r>
          <w:r w:rsidR="004800F4" w:rsidRPr="00406EBF">
            <w:rPr>
              <w:rFonts w:cstheme="minorHAnsi"/>
              <w:b/>
              <w:sz w:val="23"/>
              <w:szCs w:val="23"/>
            </w:rPr>
            <w:t xml:space="preserve">le GRECO recommande </w:t>
          </w:r>
          <w:bookmarkStart w:id="172" w:name="_Hlk26528872"/>
          <w:r w:rsidR="00D4454A" w:rsidRPr="00406EBF">
            <w:rPr>
              <w:rFonts w:cstheme="minorHAnsi"/>
              <w:b/>
              <w:sz w:val="23"/>
              <w:szCs w:val="23"/>
            </w:rPr>
            <w:t xml:space="preserve">d’assurer que le contrôle interne soit en mesure de jouer </w:t>
          </w:r>
          <w:r w:rsidR="00817FF1">
            <w:rPr>
              <w:rFonts w:cstheme="minorHAnsi"/>
              <w:b/>
              <w:sz w:val="23"/>
              <w:szCs w:val="23"/>
            </w:rPr>
            <w:t xml:space="preserve">pleinement son </w:t>
          </w:r>
          <w:r w:rsidR="00D4454A" w:rsidRPr="00406EBF">
            <w:rPr>
              <w:rFonts w:cstheme="minorHAnsi"/>
              <w:b/>
              <w:sz w:val="23"/>
              <w:szCs w:val="23"/>
            </w:rPr>
            <w:t>rôle</w:t>
          </w:r>
          <w:r w:rsidR="00817FF1">
            <w:rPr>
              <w:rFonts w:cstheme="minorHAnsi"/>
              <w:b/>
              <w:sz w:val="23"/>
              <w:szCs w:val="23"/>
            </w:rPr>
            <w:t>, notamment de manière</w:t>
          </w:r>
          <w:r w:rsidR="00D4454A" w:rsidRPr="00406EBF">
            <w:rPr>
              <w:rFonts w:cstheme="minorHAnsi"/>
              <w:b/>
              <w:sz w:val="23"/>
              <w:szCs w:val="23"/>
            </w:rPr>
            <w:t xml:space="preserve"> proacti</w:t>
          </w:r>
          <w:r w:rsidR="00817FF1">
            <w:rPr>
              <w:rFonts w:cstheme="minorHAnsi"/>
              <w:b/>
              <w:sz w:val="23"/>
              <w:szCs w:val="23"/>
            </w:rPr>
            <w:t>ve,</w:t>
          </w:r>
          <w:r w:rsidR="00D4454A" w:rsidRPr="00406EBF">
            <w:rPr>
              <w:rFonts w:cstheme="minorHAnsi"/>
              <w:b/>
              <w:sz w:val="23"/>
              <w:szCs w:val="23"/>
            </w:rPr>
            <w:t xml:space="preserve"> et de donner un aperçu général pertinent de l’évolution statistique en matière disciplinaire au sein de la police fédérale</w:t>
          </w:r>
          <w:bookmarkEnd w:id="172"/>
          <w:r w:rsidR="00D4454A" w:rsidRPr="00406EBF">
            <w:rPr>
              <w:rFonts w:cstheme="minorHAnsi"/>
              <w:b/>
              <w:sz w:val="23"/>
              <w:szCs w:val="23"/>
            </w:rPr>
            <w:t>.</w:t>
          </w:r>
          <w:bookmarkEnd w:id="171"/>
        </w:p>
        <w:p w14:paraId="3AE5FF20" w14:textId="77777777" w:rsidR="00021D4B" w:rsidRPr="00406EBF" w:rsidRDefault="00021D4B" w:rsidP="00021D4B">
          <w:pPr>
            <w:tabs>
              <w:tab w:val="left" w:pos="709"/>
            </w:tabs>
            <w:spacing w:line="240" w:lineRule="auto"/>
            <w:jc w:val="both"/>
            <w:rPr>
              <w:rFonts w:cstheme="minorHAnsi"/>
              <w:sz w:val="23"/>
              <w:szCs w:val="23"/>
            </w:rPr>
          </w:pPr>
        </w:p>
        <w:p w14:paraId="24795039" w14:textId="7511A91B" w:rsidR="00021D4B" w:rsidRPr="00406EBF" w:rsidRDefault="00C8751C"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 xml:space="preserve">Un autre problème important résulte du fait que la police intégrée n’a pas actuellement connaissance des ouvertures d’enquêtes et des condamnations pénales visant ses membres. La possibilité existe en effet que le procureur et le juge ne connaissent pas la qualité de policier de la personne qui comparaît devant eux, si celle-ci ne l’a pas déclarée et si elle n’apparaît pas dans les </w:t>
          </w:r>
          <w:r w:rsidR="00C857A5" w:rsidRPr="00406EBF">
            <w:rPr>
              <w:rFonts w:cstheme="minorHAnsi"/>
              <w:sz w:val="23"/>
              <w:szCs w:val="23"/>
            </w:rPr>
            <w:t>éléments du dossier</w:t>
          </w:r>
          <w:r w:rsidRPr="00406EBF">
            <w:rPr>
              <w:rFonts w:cstheme="minorHAnsi"/>
              <w:sz w:val="23"/>
              <w:szCs w:val="23"/>
            </w:rPr>
            <w:t>.</w:t>
          </w:r>
          <w:r w:rsidR="00C857A5" w:rsidRPr="00406EBF">
            <w:rPr>
              <w:rFonts w:cstheme="minorHAnsi"/>
              <w:sz w:val="23"/>
              <w:szCs w:val="23"/>
            </w:rPr>
            <w:t xml:space="preserve"> L</w:t>
          </w:r>
          <w:r w:rsidR="00D241AA" w:rsidRPr="00406EBF">
            <w:rPr>
              <w:rFonts w:cstheme="minorHAnsi"/>
              <w:sz w:val="23"/>
              <w:szCs w:val="23"/>
            </w:rPr>
            <w:t xml:space="preserve">a justice ne peut donc à son tour pas informer la police qu’un de ses membres est visé par une procédure pénale ou a été condamné et la police ne peut pas tirer les conséquences de ce fait, que ce soit au niveau disciplinaire ou en vue de la mutation ou de la promotion à certains postes. </w:t>
          </w:r>
          <w:r w:rsidRPr="00406EBF">
            <w:rPr>
              <w:rFonts w:cstheme="minorHAnsi"/>
              <w:sz w:val="23"/>
              <w:szCs w:val="23"/>
            </w:rPr>
            <w:t xml:space="preserve"> </w:t>
          </w:r>
          <w:r w:rsidR="00D241AA" w:rsidRPr="00406EBF">
            <w:rPr>
              <w:rFonts w:cstheme="minorHAnsi"/>
              <w:b/>
              <w:sz w:val="23"/>
              <w:szCs w:val="23"/>
            </w:rPr>
            <w:t xml:space="preserve">Le GRECO recommande </w:t>
          </w:r>
          <w:bookmarkStart w:id="173" w:name="_Hlk26528888"/>
          <w:r w:rsidR="00D241AA" w:rsidRPr="00406EBF">
            <w:rPr>
              <w:rFonts w:cstheme="minorHAnsi"/>
              <w:b/>
              <w:sz w:val="23"/>
              <w:szCs w:val="23"/>
            </w:rPr>
            <w:t xml:space="preserve">que </w:t>
          </w:r>
          <w:r w:rsidR="00E44B2C">
            <w:rPr>
              <w:rFonts w:cstheme="minorHAnsi"/>
              <w:b/>
              <w:sz w:val="23"/>
              <w:szCs w:val="23"/>
            </w:rPr>
            <w:t>les membres de la police soient tenus de communiquer leur qualité de policier lorsqu’ils sont visés par une enquête ou une condamnation pénale</w:t>
          </w:r>
          <w:r w:rsidR="0019274D">
            <w:rPr>
              <w:rFonts w:cstheme="minorHAnsi"/>
              <w:b/>
              <w:sz w:val="23"/>
              <w:szCs w:val="23"/>
            </w:rPr>
            <w:t xml:space="preserve"> et/ou d’informer le service interne compétent de la police intégrée d’une telle enquête ou condamnation</w:t>
          </w:r>
          <w:bookmarkEnd w:id="173"/>
          <w:r w:rsidR="00D241AA" w:rsidRPr="00406EBF">
            <w:rPr>
              <w:rFonts w:cstheme="minorHAnsi"/>
              <w:b/>
              <w:sz w:val="23"/>
              <w:szCs w:val="23"/>
            </w:rPr>
            <w:t>.</w:t>
          </w:r>
          <w:r w:rsidRPr="00406EBF">
            <w:rPr>
              <w:rFonts w:cstheme="minorHAnsi"/>
              <w:sz w:val="23"/>
              <w:szCs w:val="23"/>
            </w:rPr>
            <w:t xml:space="preserve"> </w:t>
          </w:r>
        </w:p>
        <w:p w14:paraId="5D07518E" w14:textId="77777777" w:rsidR="007C316A" w:rsidRPr="00406EBF" w:rsidRDefault="007C316A" w:rsidP="00D042B3">
          <w:pPr>
            <w:tabs>
              <w:tab w:val="left" w:pos="709"/>
            </w:tabs>
            <w:spacing w:line="240" w:lineRule="auto"/>
            <w:jc w:val="both"/>
            <w:rPr>
              <w:rFonts w:cstheme="minorHAnsi"/>
              <w:sz w:val="23"/>
              <w:szCs w:val="23"/>
            </w:rPr>
          </w:pPr>
        </w:p>
        <w:p w14:paraId="158D93CC" w14:textId="67EFC47D" w:rsidR="00D042B3" w:rsidRDefault="00C307C8" w:rsidP="00D042B3">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T</w:t>
          </w:r>
          <w:r w:rsidR="00D042B3" w:rsidRPr="00406EBF">
            <w:rPr>
              <w:rFonts w:cstheme="minorHAnsi"/>
              <w:sz w:val="23"/>
              <w:szCs w:val="23"/>
            </w:rPr>
            <w:t>out acte ou comportement, même en dehors de l'exercice de la fonction, qui constitue un manquement aux obligations professionnelles ou qui est de nature à mettre en péril la dignité de la fonction, est une transgression disciplinaire et peut donner lieu à une sanction disciplinaire.</w:t>
          </w:r>
        </w:p>
        <w:p w14:paraId="7451D430" w14:textId="77777777" w:rsidR="005603F5" w:rsidRDefault="005603F5" w:rsidP="00E36E19">
          <w:pPr>
            <w:tabs>
              <w:tab w:val="left" w:pos="709"/>
            </w:tabs>
            <w:spacing w:line="240" w:lineRule="auto"/>
            <w:jc w:val="both"/>
            <w:rPr>
              <w:rFonts w:cstheme="minorHAnsi"/>
              <w:sz w:val="23"/>
              <w:szCs w:val="23"/>
            </w:rPr>
          </w:pPr>
        </w:p>
        <w:p w14:paraId="047EF0CE" w14:textId="4BF1DDE6" w:rsidR="003605B8" w:rsidRDefault="005603F5" w:rsidP="00D042B3">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Il faut distinguer les autorités disciplinaires ordinaires des autorités disciplinaires supérieures. Les premières sont compétentes pour adopter les sanctions disciplinaires légères tandis que les secondes peuvent infliger aussi bien les sanctions légères que les sanctions lourdes.</w:t>
          </w:r>
        </w:p>
        <w:p w14:paraId="18DAA676" w14:textId="4217EF92" w:rsidR="005603F5" w:rsidRDefault="005603F5" w:rsidP="0032094E">
          <w:pPr>
            <w:tabs>
              <w:tab w:val="left" w:pos="709"/>
            </w:tabs>
            <w:spacing w:line="240" w:lineRule="auto"/>
            <w:jc w:val="both"/>
            <w:rPr>
              <w:rFonts w:cstheme="minorHAnsi"/>
              <w:sz w:val="23"/>
              <w:szCs w:val="23"/>
            </w:rPr>
          </w:pPr>
        </w:p>
        <w:tbl>
          <w:tblPr>
            <w:tblStyle w:val="Grilledutableau"/>
            <w:tblW w:w="0" w:type="auto"/>
            <w:tblLook w:val="04A0" w:firstRow="1" w:lastRow="0" w:firstColumn="1" w:lastColumn="0" w:noHBand="0" w:noVBand="1"/>
          </w:tblPr>
          <w:tblGrid>
            <w:gridCol w:w="2260"/>
            <w:gridCol w:w="2269"/>
            <w:gridCol w:w="2261"/>
            <w:gridCol w:w="2270"/>
          </w:tblGrid>
          <w:tr w:rsidR="005603F5" w14:paraId="331660A2" w14:textId="77777777" w:rsidTr="00E36E19">
            <w:tc>
              <w:tcPr>
                <w:tcW w:w="4604" w:type="dxa"/>
                <w:gridSpan w:val="2"/>
                <w:shd w:val="clear" w:color="auto" w:fill="BFBFBF" w:themeFill="background1" w:themeFillShade="BF"/>
              </w:tcPr>
              <w:p w14:paraId="64E18BEA" w14:textId="1B831FA9" w:rsidR="005603F5" w:rsidRPr="00E36E19" w:rsidRDefault="005603F5" w:rsidP="00E36E19">
                <w:pPr>
                  <w:tabs>
                    <w:tab w:val="left" w:pos="709"/>
                  </w:tabs>
                  <w:jc w:val="center"/>
                  <w:rPr>
                    <w:rFonts w:cstheme="minorHAnsi"/>
                    <w:b/>
                    <w:sz w:val="23"/>
                    <w:szCs w:val="23"/>
                  </w:rPr>
                </w:pPr>
                <w:r>
                  <w:rPr>
                    <w:rFonts w:cstheme="minorHAnsi"/>
                    <w:b/>
                    <w:sz w:val="23"/>
                    <w:szCs w:val="23"/>
                  </w:rPr>
                  <w:t>Autorités disciplinaires ordinaires</w:t>
                </w:r>
              </w:p>
            </w:tc>
            <w:tc>
              <w:tcPr>
                <w:tcW w:w="4606" w:type="dxa"/>
                <w:gridSpan w:val="2"/>
                <w:shd w:val="clear" w:color="auto" w:fill="BFBFBF" w:themeFill="background1" w:themeFillShade="BF"/>
              </w:tcPr>
              <w:p w14:paraId="0B395FA1" w14:textId="3347F9BC" w:rsidR="005603F5" w:rsidRPr="00E36E19" w:rsidRDefault="005603F5" w:rsidP="00E36E19">
                <w:pPr>
                  <w:tabs>
                    <w:tab w:val="left" w:pos="709"/>
                  </w:tabs>
                  <w:jc w:val="center"/>
                  <w:rPr>
                    <w:rFonts w:cstheme="minorHAnsi"/>
                    <w:b/>
                    <w:sz w:val="23"/>
                    <w:szCs w:val="23"/>
                  </w:rPr>
                </w:pPr>
                <w:r>
                  <w:rPr>
                    <w:rFonts w:cstheme="minorHAnsi"/>
                    <w:b/>
                    <w:sz w:val="23"/>
                    <w:szCs w:val="23"/>
                  </w:rPr>
                  <w:t>Autorités disciplinaires supérieures</w:t>
                </w:r>
              </w:p>
            </w:tc>
          </w:tr>
          <w:tr w:rsidR="005603F5" w14:paraId="3BDE6663" w14:textId="77777777" w:rsidTr="00084089">
            <w:tc>
              <w:tcPr>
                <w:tcW w:w="9210" w:type="dxa"/>
                <w:gridSpan w:val="4"/>
              </w:tcPr>
              <w:p w14:paraId="2C00F5B2" w14:textId="033C8E64" w:rsidR="005603F5" w:rsidRPr="00E36E19" w:rsidRDefault="005603F5" w:rsidP="00E36E19">
                <w:pPr>
                  <w:tabs>
                    <w:tab w:val="left" w:pos="709"/>
                  </w:tabs>
                  <w:jc w:val="center"/>
                  <w:rPr>
                    <w:rFonts w:cstheme="minorHAnsi"/>
                    <w:i/>
                    <w:sz w:val="23"/>
                    <w:szCs w:val="23"/>
                  </w:rPr>
                </w:pPr>
                <w:r>
                  <w:rPr>
                    <w:rFonts w:cstheme="minorHAnsi"/>
                    <w:i/>
                    <w:sz w:val="23"/>
                    <w:szCs w:val="23"/>
                  </w:rPr>
                  <w:t>Police fédérale</w:t>
                </w:r>
              </w:p>
            </w:tc>
          </w:tr>
          <w:tr w:rsidR="005603F5" w14:paraId="10009EC9" w14:textId="77777777" w:rsidTr="005603F5">
            <w:tc>
              <w:tcPr>
                <w:tcW w:w="2302" w:type="dxa"/>
              </w:tcPr>
              <w:p w14:paraId="605C5B22" w14:textId="77777777" w:rsidR="005603F5" w:rsidRDefault="005603F5" w:rsidP="0032094E">
                <w:pPr>
                  <w:tabs>
                    <w:tab w:val="left" w:pos="709"/>
                  </w:tabs>
                  <w:jc w:val="both"/>
                  <w:rPr>
                    <w:rFonts w:cstheme="minorHAnsi"/>
                    <w:sz w:val="23"/>
                    <w:szCs w:val="23"/>
                  </w:rPr>
                </w:pPr>
                <w:r>
                  <w:rPr>
                    <w:rFonts w:cstheme="minorHAnsi"/>
                    <w:sz w:val="23"/>
                    <w:szCs w:val="23"/>
                  </w:rPr>
                  <w:t>Cadres autres qu’officiers</w:t>
                </w:r>
              </w:p>
              <w:p w14:paraId="5E0AAAB2" w14:textId="64575220" w:rsidR="005603F5" w:rsidRDefault="005603F5" w:rsidP="0032094E">
                <w:pPr>
                  <w:tabs>
                    <w:tab w:val="left" w:pos="709"/>
                  </w:tabs>
                  <w:jc w:val="both"/>
                  <w:rPr>
                    <w:rFonts w:cstheme="minorHAnsi"/>
                    <w:sz w:val="23"/>
                    <w:szCs w:val="23"/>
                  </w:rPr>
                </w:pPr>
                <w:r>
                  <w:rPr>
                    <w:rFonts w:cstheme="minorHAnsi"/>
                    <w:sz w:val="23"/>
                    <w:szCs w:val="23"/>
                  </w:rPr>
                  <w:t>Membres du personnel (MP) &lt; niveau A</w:t>
                </w:r>
              </w:p>
            </w:tc>
            <w:tc>
              <w:tcPr>
                <w:tcW w:w="2302" w:type="dxa"/>
              </w:tcPr>
              <w:p w14:paraId="5A435A7C" w14:textId="5B10821D" w:rsidR="005603F5" w:rsidRPr="00E36E19" w:rsidRDefault="005603F5" w:rsidP="0032094E">
                <w:pPr>
                  <w:tabs>
                    <w:tab w:val="left" w:pos="709"/>
                  </w:tabs>
                  <w:jc w:val="both"/>
                  <w:rPr>
                    <w:rFonts w:cstheme="minorHAnsi"/>
                    <w:b/>
                    <w:sz w:val="23"/>
                    <w:szCs w:val="23"/>
                  </w:rPr>
                </w:pPr>
                <w:r>
                  <w:rPr>
                    <w:rFonts w:cstheme="minorHAnsi"/>
                    <w:b/>
                    <w:sz w:val="23"/>
                    <w:szCs w:val="23"/>
                  </w:rPr>
                  <w:t>Chef de service</w:t>
                </w:r>
              </w:p>
            </w:tc>
            <w:tc>
              <w:tcPr>
                <w:tcW w:w="2303" w:type="dxa"/>
              </w:tcPr>
              <w:p w14:paraId="09EB3176" w14:textId="77777777" w:rsidR="005603F5" w:rsidRDefault="005603F5" w:rsidP="0032094E">
                <w:pPr>
                  <w:tabs>
                    <w:tab w:val="left" w:pos="709"/>
                  </w:tabs>
                  <w:jc w:val="both"/>
                  <w:rPr>
                    <w:rFonts w:cstheme="minorHAnsi"/>
                    <w:sz w:val="23"/>
                    <w:szCs w:val="23"/>
                  </w:rPr>
                </w:pPr>
                <w:r>
                  <w:rPr>
                    <w:rFonts w:cstheme="minorHAnsi"/>
                    <w:sz w:val="23"/>
                    <w:szCs w:val="23"/>
                  </w:rPr>
                  <w:t>Cadres autres qu’officiers</w:t>
                </w:r>
              </w:p>
              <w:p w14:paraId="64F32F7F" w14:textId="49C0C076" w:rsidR="005603F5" w:rsidRDefault="005603F5" w:rsidP="0032094E">
                <w:pPr>
                  <w:tabs>
                    <w:tab w:val="left" w:pos="709"/>
                  </w:tabs>
                  <w:jc w:val="both"/>
                  <w:rPr>
                    <w:rFonts w:cstheme="minorHAnsi"/>
                    <w:sz w:val="23"/>
                    <w:szCs w:val="23"/>
                  </w:rPr>
                </w:pPr>
                <w:r>
                  <w:rPr>
                    <w:rFonts w:cstheme="minorHAnsi"/>
                    <w:sz w:val="23"/>
                    <w:szCs w:val="23"/>
                  </w:rPr>
                  <w:t>MP &lt; niveau A</w:t>
                </w:r>
              </w:p>
            </w:tc>
            <w:tc>
              <w:tcPr>
                <w:tcW w:w="2303" w:type="dxa"/>
              </w:tcPr>
              <w:p w14:paraId="6071FCEB" w14:textId="68F0DA3E" w:rsidR="005603F5" w:rsidRPr="00E36E19" w:rsidRDefault="005603F5" w:rsidP="0032094E">
                <w:pPr>
                  <w:tabs>
                    <w:tab w:val="left" w:pos="709"/>
                  </w:tabs>
                  <w:jc w:val="both"/>
                  <w:rPr>
                    <w:rFonts w:cstheme="minorHAnsi"/>
                    <w:b/>
                    <w:sz w:val="23"/>
                    <w:szCs w:val="23"/>
                  </w:rPr>
                </w:pPr>
                <w:r>
                  <w:rPr>
                    <w:rFonts w:cstheme="minorHAnsi"/>
                    <w:b/>
                    <w:sz w:val="23"/>
                    <w:szCs w:val="23"/>
                  </w:rPr>
                  <w:t>Directeur général</w:t>
                </w:r>
              </w:p>
            </w:tc>
          </w:tr>
          <w:tr w:rsidR="005603F5" w14:paraId="25EB1D55" w14:textId="77777777" w:rsidTr="005603F5">
            <w:tc>
              <w:tcPr>
                <w:tcW w:w="2302" w:type="dxa"/>
              </w:tcPr>
              <w:p w14:paraId="285C4BD8" w14:textId="77777777" w:rsidR="005603F5" w:rsidRDefault="005603F5" w:rsidP="0032094E">
                <w:pPr>
                  <w:tabs>
                    <w:tab w:val="left" w:pos="709"/>
                  </w:tabs>
                  <w:jc w:val="both"/>
                  <w:rPr>
                    <w:rFonts w:cstheme="minorHAnsi"/>
                    <w:sz w:val="23"/>
                    <w:szCs w:val="23"/>
                  </w:rPr>
                </w:pPr>
                <w:r>
                  <w:rPr>
                    <w:rFonts w:cstheme="minorHAnsi"/>
                    <w:sz w:val="23"/>
                    <w:szCs w:val="23"/>
                  </w:rPr>
                  <w:t>Officiers</w:t>
                </w:r>
              </w:p>
              <w:p w14:paraId="02D84F94" w14:textId="75A7BC4B" w:rsidR="005603F5" w:rsidRDefault="005603F5" w:rsidP="0032094E">
                <w:pPr>
                  <w:tabs>
                    <w:tab w:val="left" w:pos="709"/>
                  </w:tabs>
                  <w:jc w:val="both"/>
                  <w:rPr>
                    <w:rFonts w:cstheme="minorHAnsi"/>
                    <w:sz w:val="23"/>
                    <w:szCs w:val="23"/>
                  </w:rPr>
                </w:pPr>
                <w:r>
                  <w:rPr>
                    <w:rFonts w:cstheme="minorHAnsi"/>
                    <w:sz w:val="23"/>
                    <w:szCs w:val="23"/>
                  </w:rPr>
                  <w:t>MP de niveau A</w:t>
                </w:r>
              </w:p>
            </w:tc>
            <w:tc>
              <w:tcPr>
                <w:tcW w:w="2302" w:type="dxa"/>
              </w:tcPr>
              <w:p w14:paraId="3F7189FA" w14:textId="0E251969" w:rsidR="005603F5" w:rsidRPr="00E36E19" w:rsidRDefault="005603F5" w:rsidP="0032094E">
                <w:pPr>
                  <w:tabs>
                    <w:tab w:val="left" w:pos="709"/>
                  </w:tabs>
                  <w:jc w:val="both"/>
                  <w:rPr>
                    <w:rFonts w:cstheme="minorHAnsi"/>
                    <w:b/>
                    <w:sz w:val="23"/>
                    <w:szCs w:val="23"/>
                  </w:rPr>
                </w:pPr>
                <w:r>
                  <w:rPr>
                    <w:rFonts w:cstheme="minorHAnsi"/>
                    <w:b/>
                    <w:sz w:val="23"/>
                    <w:szCs w:val="23"/>
                  </w:rPr>
                  <w:t>Directeur général</w:t>
                </w:r>
              </w:p>
            </w:tc>
            <w:tc>
              <w:tcPr>
                <w:tcW w:w="2303" w:type="dxa"/>
              </w:tcPr>
              <w:p w14:paraId="3FCB3EE5" w14:textId="77777777" w:rsidR="005603F5" w:rsidRDefault="005603F5" w:rsidP="0032094E">
                <w:pPr>
                  <w:tabs>
                    <w:tab w:val="left" w:pos="709"/>
                  </w:tabs>
                  <w:jc w:val="both"/>
                  <w:rPr>
                    <w:rFonts w:cstheme="minorHAnsi"/>
                    <w:sz w:val="23"/>
                    <w:szCs w:val="23"/>
                  </w:rPr>
                </w:pPr>
                <w:r>
                  <w:rPr>
                    <w:rFonts w:cstheme="minorHAnsi"/>
                    <w:sz w:val="23"/>
                    <w:szCs w:val="23"/>
                  </w:rPr>
                  <w:t>Officiers</w:t>
                </w:r>
              </w:p>
              <w:p w14:paraId="01C711EB" w14:textId="4EE670B9" w:rsidR="005603F5" w:rsidRDefault="005603F5" w:rsidP="0032094E">
                <w:pPr>
                  <w:tabs>
                    <w:tab w:val="left" w:pos="709"/>
                  </w:tabs>
                  <w:jc w:val="both"/>
                  <w:rPr>
                    <w:rFonts w:cstheme="minorHAnsi"/>
                    <w:sz w:val="23"/>
                    <w:szCs w:val="23"/>
                  </w:rPr>
                </w:pPr>
                <w:r>
                  <w:rPr>
                    <w:rFonts w:cstheme="minorHAnsi"/>
                    <w:sz w:val="23"/>
                    <w:szCs w:val="23"/>
                  </w:rPr>
                  <w:t>MP de niveau A</w:t>
                </w:r>
              </w:p>
            </w:tc>
            <w:tc>
              <w:tcPr>
                <w:tcW w:w="2303" w:type="dxa"/>
              </w:tcPr>
              <w:p w14:paraId="4D072389" w14:textId="2E28A3E7" w:rsidR="005603F5" w:rsidRPr="00E36E19" w:rsidRDefault="005603F5" w:rsidP="0032094E">
                <w:pPr>
                  <w:tabs>
                    <w:tab w:val="left" w:pos="709"/>
                  </w:tabs>
                  <w:jc w:val="both"/>
                  <w:rPr>
                    <w:rFonts w:cstheme="minorHAnsi"/>
                    <w:b/>
                    <w:sz w:val="23"/>
                    <w:szCs w:val="23"/>
                  </w:rPr>
                </w:pPr>
                <w:r w:rsidRPr="00E36E19">
                  <w:rPr>
                    <w:rFonts w:cstheme="minorHAnsi"/>
                    <w:b/>
                    <w:sz w:val="23"/>
                    <w:szCs w:val="23"/>
                  </w:rPr>
                  <w:t>Ministre de l’Intérieur</w:t>
                </w:r>
              </w:p>
            </w:tc>
          </w:tr>
          <w:tr w:rsidR="005603F5" w14:paraId="38290AD1" w14:textId="77777777" w:rsidTr="005603F5">
            <w:tc>
              <w:tcPr>
                <w:tcW w:w="2302" w:type="dxa"/>
              </w:tcPr>
              <w:p w14:paraId="501F8E93" w14:textId="77777777" w:rsidR="005603F5" w:rsidRDefault="005603F5" w:rsidP="0032094E">
                <w:pPr>
                  <w:tabs>
                    <w:tab w:val="left" w:pos="709"/>
                  </w:tabs>
                  <w:jc w:val="both"/>
                  <w:rPr>
                    <w:rFonts w:cstheme="minorHAnsi"/>
                    <w:sz w:val="23"/>
                    <w:szCs w:val="23"/>
                  </w:rPr>
                </w:pPr>
                <w:r>
                  <w:rPr>
                    <w:rFonts w:cstheme="minorHAnsi"/>
                    <w:sz w:val="23"/>
                    <w:szCs w:val="23"/>
                  </w:rPr>
                  <w:t>Directeurs généraux</w:t>
                </w:r>
              </w:p>
              <w:p w14:paraId="47D11933" w14:textId="3A1BEA2D" w:rsidR="005603F5" w:rsidRDefault="005603F5" w:rsidP="0032094E">
                <w:pPr>
                  <w:tabs>
                    <w:tab w:val="left" w:pos="709"/>
                  </w:tabs>
                  <w:jc w:val="both"/>
                  <w:rPr>
                    <w:rFonts w:cstheme="minorHAnsi"/>
                    <w:sz w:val="23"/>
                    <w:szCs w:val="23"/>
                  </w:rPr>
                </w:pPr>
                <w:r>
                  <w:rPr>
                    <w:rFonts w:cstheme="minorHAnsi"/>
                    <w:sz w:val="23"/>
                    <w:szCs w:val="23"/>
                  </w:rPr>
                  <w:t>Commissaire général</w:t>
                </w:r>
              </w:p>
            </w:tc>
            <w:tc>
              <w:tcPr>
                <w:tcW w:w="2302" w:type="dxa"/>
              </w:tcPr>
              <w:p w14:paraId="3BC092C4" w14:textId="4D07836C" w:rsidR="005603F5" w:rsidRPr="00E36E19" w:rsidRDefault="005603F5" w:rsidP="0032094E">
                <w:pPr>
                  <w:tabs>
                    <w:tab w:val="left" w:pos="709"/>
                  </w:tabs>
                  <w:jc w:val="both"/>
                  <w:rPr>
                    <w:rFonts w:cstheme="minorHAnsi"/>
                    <w:b/>
                    <w:sz w:val="23"/>
                    <w:szCs w:val="23"/>
                  </w:rPr>
                </w:pPr>
                <w:r w:rsidRPr="00E36E19">
                  <w:rPr>
                    <w:rFonts w:cstheme="minorHAnsi"/>
                    <w:b/>
                    <w:sz w:val="23"/>
                    <w:szCs w:val="23"/>
                  </w:rPr>
                  <w:t>Ministres de l’Intérieur et de la Justice agissant conjointement</w:t>
                </w:r>
              </w:p>
            </w:tc>
            <w:tc>
              <w:tcPr>
                <w:tcW w:w="2303" w:type="dxa"/>
              </w:tcPr>
              <w:p w14:paraId="29404B6D" w14:textId="77777777" w:rsidR="005603F5" w:rsidRDefault="005603F5" w:rsidP="0032094E">
                <w:pPr>
                  <w:tabs>
                    <w:tab w:val="left" w:pos="709"/>
                  </w:tabs>
                  <w:jc w:val="both"/>
                  <w:rPr>
                    <w:rFonts w:cstheme="minorHAnsi"/>
                    <w:sz w:val="23"/>
                    <w:szCs w:val="23"/>
                  </w:rPr>
                </w:pPr>
                <w:r>
                  <w:rPr>
                    <w:rFonts w:cstheme="minorHAnsi"/>
                    <w:sz w:val="23"/>
                    <w:szCs w:val="23"/>
                  </w:rPr>
                  <w:t>Directeurs généraux</w:t>
                </w:r>
              </w:p>
              <w:p w14:paraId="65CB4FDA" w14:textId="229A5F14" w:rsidR="005603F5" w:rsidRDefault="005603F5" w:rsidP="0032094E">
                <w:pPr>
                  <w:tabs>
                    <w:tab w:val="left" w:pos="709"/>
                  </w:tabs>
                  <w:jc w:val="both"/>
                  <w:rPr>
                    <w:rFonts w:cstheme="minorHAnsi"/>
                    <w:sz w:val="23"/>
                    <w:szCs w:val="23"/>
                  </w:rPr>
                </w:pPr>
                <w:r>
                  <w:rPr>
                    <w:rFonts w:cstheme="minorHAnsi"/>
                    <w:sz w:val="23"/>
                    <w:szCs w:val="23"/>
                  </w:rPr>
                  <w:t>Commissaire général</w:t>
                </w:r>
              </w:p>
            </w:tc>
            <w:tc>
              <w:tcPr>
                <w:tcW w:w="2303" w:type="dxa"/>
              </w:tcPr>
              <w:p w14:paraId="43C3588E" w14:textId="4BACAA38" w:rsidR="005603F5" w:rsidRDefault="005603F5" w:rsidP="0032094E">
                <w:pPr>
                  <w:tabs>
                    <w:tab w:val="left" w:pos="709"/>
                  </w:tabs>
                  <w:jc w:val="both"/>
                  <w:rPr>
                    <w:rFonts w:cstheme="minorHAnsi"/>
                    <w:sz w:val="23"/>
                    <w:szCs w:val="23"/>
                  </w:rPr>
                </w:pPr>
                <w:r w:rsidRPr="00A6310C">
                  <w:rPr>
                    <w:rFonts w:cstheme="minorHAnsi"/>
                    <w:b/>
                    <w:sz w:val="23"/>
                    <w:szCs w:val="23"/>
                  </w:rPr>
                  <w:t>Ministres de l’Intérieur et de la Justice agissant conjointement</w:t>
                </w:r>
              </w:p>
            </w:tc>
          </w:tr>
          <w:tr w:rsidR="005603F5" w14:paraId="59459428" w14:textId="77777777" w:rsidTr="00084089">
            <w:tc>
              <w:tcPr>
                <w:tcW w:w="9210" w:type="dxa"/>
                <w:gridSpan w:val="4"/>
              </w:tcPr>
              <w:p w14:paraId="12B8DEBC" w14:textId="35D4E933" w:rsidR="005603F5" w:rsidRPr="00E36E19" w:rsidRDefault="005603F5" w:rsidP="00E36E19">
                <w:pPr>
                  <w:tabs>
                    <w:tab w:val="left" w:pos="709"/>
                  </w:tabs>
                  <w:jc w:val="center"/>
                  <w:rPr>
                    <w:rFonts w:cstheme="minorHAnsi"/>
                    <w:i/>
                    <w:sz w:val="23"/>
                    <w:szCs w:val="23"/>
                  </w:rPr>
                </w:pPr>
                <w:r>
                  <w:rPr>
                    <w:rFonts w:cstheme="minorHAnsi"/>
                    <w:i/>
                    <w:sz w:val="23"/>
                    <w:szCs w:val="23"/>
                  </w:rPr>
                  <w:t>Inspection générale</w:t>
                </w:r>
              </w:p>
            </w:tc>
          </w:tr>
          <w:tr w:rsidR="005603F5" w14:paraId="103C6359" w14:textId="77777777" w:rsidTr="005603F5">
            <w:tc>
              <w:tcPr>
                <w:tcW w:w="2302" w:type="dxa"/>
              </w:tcPr>
              <w:p w14:paraId="32B52296" w14:textId="77777777" w:rsidR="005603F5" w:rsidRDefault="005603F5" w:rsidP="0032094E">
                <w:pPr>
                  <w:tabs>
                    <w:tab w:val="left" w:pos="709"/>
                  </w:tabs>
                  <w:jc w:val="both"/>
                  <w:rPr>
                    <w:rFonts w:cstheme="minorHAnsi"/>
                    <w:sz w:val="23"/>
                    <w:szCs w:val="23"/>
                  </w:rPr>
                </w:pPr>
                <w:r>
                  <w:rPr>
                    <w:rFonts w:cstheme="minorHAnsi"/>
                    <w:sz w:val="23"/>
                    <w:szCs w:val="23"/>
                  </w:rPr>
                  <w:t>Cadre de base</w:t>
                </w:r>
              </w:p>
              <w:p w14:paraId="42B854E9" w14:textId="77777777" w:rsidR="005603F5" w:rsidRDefault="005603F5" w:rsidP="0032094E">
                <w:pPr>
                  <w:tabs>
                    <w:tab w:val="left" w:pos="709"/>
                  </w:tabs>
                  <w:jc w:val="both"/>
                  <w:rPr>
                    <w:rFonts w:cstheme="minorHAnsi"/>
                    <w:sz w:val="23"/>
                    <w:szCs w:val="23"/>
                  </w:rPr>
                </w:pPr>
                <w:r>
                  <w:rPr>
                    <w:rFonts w:cstheme="minorHAnsi"/>
                    <w:sz w:val="23"/>
                    <w:szCs w:val="23"/>
                  </w:rPr>
                  <w:t>Cadre moyen</w:t>
                </w:r>
              </w:p>
              <w:p w14:paraId="5D51B5C5" w14:textId="4B58BCA8" w:rsidR="005603F5" w:rsidRDefault="005603F5" w:rsidP="0032094E">
                <w:pPr>
                  <w:tabs>
                    <w:tab w:val="left" w:pos="709"/>
                  </w:tabs>
                  <w:jc w:val="both"/>
                  <w:rPr>
                    <w:rFonts w:cstheme="minorHAnsi"/>
                    <w:sz w:val="23"/>
                    <w:szCs w:val="23"/>
                  </w:rPr>
                </w:pPr>
                <w:r>
                  <w:rPr>
                    <w:rFonts w:cstheme="minorHAnsi"/>
                    <w:sz w:val="23"/>
                    <w:szCs w:val="23"/>
                  </w:rPr>
                  <w:t>MP &lt; niveau A</w:t>
                </w:r>
              </w:p>
            </w:tc>
            <w:tc>
              <w:tcPr>
                <w:tcW w:w="2302" w:type="dxa"/>
              </w:tcPr>
              <w:p w14:paraId="22B72E58" w14:textId="28C6B141" w:rsidR="005603F5" w:rsidRPr="00E36E19" w:rsidRDefault="005603F5" w:rsidP="0032094E">
                <w:pPr>
                  <w:tabs>
                    <w:tab w:val="left" w:pos="709"/>
                  </w:tabs>
                  <w:jc w:val="both"/>
                  <w:rPr>
                    <w:rFonts w:cstheme="minorHAnsi"/>
                    <w:b/>
                    <w:sz w:val="23"/>
                    <w:szCs w:val="23"/>
                  </w:rPr>
                </w:pPr>
                <w:r>
                  <w:rPr>
                    <w:rFonts w:cstheme="minorHAnsi"/>
                    <w:b/>
                    <w:sz w:val="23"/>
                    <w:szCs w:val="23"/>
                  </w:rPr>
                  <w:t>Inspecteur général</w:t>
                </w:r>
              </w:p>
            </w:tc>
            <w:tc>
              <w:tcPr>
                <w:tcW w:w="2303" w:type="dxa"/>
                <w:vMerge w:val="restart"/>
              </w:tcPr>
              <w:p w14:paraId="6879AF65" w14:textId="357F2F58" w:rsidR="005603F5" w:rsidRDefault="005603F5" w:rsidP="0032094E">
                <w:pPr>
                  <w:tabs>
                    <w:tab w:val="left" w:pos="709"/>
                  </w:tabs>
                  <w:jc w:val="both"/>
                  <w:rPr>
                    <w:rFonts w:cstheme="minorHAnsi"/>
                    <w:sz w:val="23"/>
                    <w:szCs w:val="23"/>
                  </w:rPr>
                </w:pPr>
                <w:r>
                  <w:rPr>
                    <w:rFonts w:cstheme="minorHAnsi"/>
                    <w:sz w:val="23"/>
                    <w:szCs w:val="23"/>
                  </w:rPr>
                  <w:t>Tous les membres du personnel</w:t>
                </w:r>
              </w:p>
            </w:tc>
            <w:tc>
              <w:tcPr>
                <w:tcW w:w="2303" w:type="dxa"/>
                <w:vMerge w:val="restart"/>
              </w:tcPr>
              <w:p w14:paraId="1F4AB632" w14:textId="39CA7598" w:rsidR="005603F5" w:rsidRPr="00E36E19" w:rsidRDefault="005603F5" w:rsidP="0032094E">
                <w:pPr>
                  <w:tabs>
                    <w:tab w:val="left" w:pos="709"/>
                  </w:tabs>
                  <w:jc w:val="both"/>
                  <w:rPr>
                    <w:rFonts w:cstheme="minorHAnsi"/>
                    <w:b/>
                    <w:sz w:val="23"/>
                    <w:szCs w:val="23"/>
                  </w:rPr>
                </w:pPr>
                <w:r>
                  <w:rPr>
                    <w:rFonts w:cstheme="minorHAnsi"/>
                    <w:b/>
                    <w:sz w:val="23"/>
                    <w:szCs w:val="23"/>
                  </w:rPr>
                  <w:t>Ministres de l’Intérieur et de la Justic</w:t>
                </w:r>
                <w:r w:rsidR="00380DD9">
                  <w:rPr>
                    <w:rFonts w:cstheme="minorHAnsi"/>
                    <w:b/>
                    <w:sz w:val="23"/>
                    <w:szCs w:val="23"/>
                  </w:rPr>
                  <w:t>e</w:t>
                </w:r>
                <w:r>
                  <w:rPr>
                    <w:rFonts w:cstheme="minorHAnsi"/>
                    <w:b/>
                    <w:sz w:val="23"/>
                    <w:szCs w:val="23"/>
                  </w:rPr>
                  <w:t xml:space="preserve"> agissant conjointement</w:t>
                </w:r>
              </w:p>
            </w:tc>
          </w:tr>
          <w:tr w:rsidR="005603F5" w14:paraId="5634DC60" w14:textId="77777777" w:rsidTr="005603F5">
            <w:tc>
              <w:tcPr>
                <w:tcW w:w="2302" w:type="dxa"/>
              </w:tcPr>
              <w:p w14:paraId="12465E39" w14:textId="77777777" w:rsidR="005603F5" w:rsidRDefault="00380DD9" w:rsidP="0032094E">
                <w:pPr>
                  <w:tabs>
                    <w:tab w:val="left" w:pos="709"/>
                  </w:tabs>
                  <w:jc w:val="both"/>
                  <w:rPr>
                    <w:rFonts w:cstheme="minorHAnsi"/>
                    <w:sz w:val="23"/>
                    <w:szCs w:val="23"/>
                  </w:rPr>
                </w:pPr>
                <w:r>
                  <w:rPr>
                    <w:rFonts w:cstheme="minorHAnsi"/>
                    <w:sz w:val="23"/>
                    <w:szCs w:val="23"/>
                  </w:rPr>
                  <w:t>Inspecteur général</w:t>
                </w:r>
              </w:p>
              <w:p w14:paraId="69467AC2" w14:textId="77777777" w:rsidR="00380DD9" w:rsidRDefault="00380DD9" w:rsidP="0032094E">
                <w:pPr>
                  <w:tabs>
                    <w:tab w:val="left" w:pos="709"/>
                  </w:tabs>
                  <w:jc w:val="both"/>
                  <w:rPr>
                    <w:rFonts w:cstheme="minorHAnsi"/>
                    <w:sz w:val="23"/>
                    <w:szCs w:val="23"/>
                  </w:rPr>
                </w:pPr>
                <w:r>
                  <w:rPr>
                    <w:rFonts w:cstheme="minorHAnsi"/>
                    <w:sz w:val="23"/>
                    <w:szCs w:val="23"/>
                  </w:rPr>
                  <w:t xml:space="preserve">Officiers </w:t>
                </w:r>
              </w:p>
              <w:p w14:paraId="77BC163C" w14:textId="69493D88" w:rsidR="00380DD9" w:rsidRDefault="00380DD9" w:rsidP="0032094E">
                <w:pPr>
                  <w:tabs>
                    <w:tab w:val="left" w:pos="709"/>
                  </w:tabs>
                  <w:jc w:val="both"/>
                  <w:rPr>
                    <w:rFonts w:cstheme="minorHAnsi"/>
                    <w:sz w:val="23"/>
                    <w:szCs w:val="23"/>
                  </w:rPr>
                </w:pPr>
                <w:r>
                  <w:rPr>
                    <w:rFonts w:cstheme="minorHAnsi"/>
                    <w:sz w:val="23"/>
                    <w:szCs w:val="23"/>
                  </w:rPr>
                  <w:t>MP de niveau A</w:t>
                </w:r>
              </w:p>
            </w:tc>
            <w:tc>
              <w:tcPr>
                <w:tcW w:w="2302" w:type="dxa"/>
              </w:tcPr>
              <w:p w14:paraId="05ADF1E3" w14:textId="1C0524B8" w:rsidR="005603F5" w:rsidRDefault="00380DD9" w:rsidP="0032094E">
                <w:pPr>
                  <w:tabs>
                    <w:tab w:val="left" w:pos="709"/>
                  </w:tabs>
                  <w:jc w:val="both"/>
                  <w:rPr>
                    <w:rFonts w:cstheme="minorHAnsi"/>
                    <w:sz w:val="23"/>
                    <w:szCs w:val="23"/>
                  </w:rPr>
                </w:pPr>
                <w:r>
                  <w:rPr>
                    <w:rFonts w:cstheme="minorHAnsi"/>
                    <w:b/>
                    <w:sz w:val="23"/>
                    <w:szCs w:val="23"/>
                  </w:rPr>
                  <w:t>Ministres de l’Intérieur et de la Justice agissant conjointement</w:t>
                </w:r>
              </w:p>
            </w:tc>
            <w:tc>
              <w:tcPr>
                <w:tcW w:w="2303" w:type="dxa"/>
                <w:vMerge/>
              </w:tcPr>
              <w:p w14:paraId="7D254F21" w14:textId="77777777" w:rsidR="005603F5" w:rsidRDefault="005603F5" w:rsidP="0032094E">
                <w:pPr>
                  <w:tabs>
                    <w:tab w:val="left" w:pos="709"/>
                  </w:tabs>
                  <w:jc w:val="both"/>
                  <w:rPr>
                    <w:rFonts w:cstheme="minorHAnsi"/>
                    <w:sz w:val="23"/>
                    <w:szCs w:val="23"/>
                  </w:rPr>
                </w:pPr>
              </w:p>
            </w:tc>
            <w:tc>
              <w:tcPr>
                <w:tcW w:w="2303" w:type="dxa"/>
                <w:vMerge/>
              </w:tcPr>
              <w:p w14:paraId="1B5991A3" w14:textId="77777777" w:rsidR="005603F5" w:rsidRDefault="005603F5" w:rsidP="0032094E">
                <w:pPr>
                  <w:tabs>
                    <w:tab w:val="left" w:pos="709"/>
                  </w:tabs>
                  <w:jc w:val="both"/>
                  <w:rPr>
                    <w:rFonts w:cstheme="minorHAnsi"/>
                    <w:sz w:val="23"/>
                    <w:szCs w:val="23"/>
                  </w:rPr>
                </w:pPr>
              </w:p>
            </w:tc>
          </w:tr>
        </w:tbl>
        <w:p w14:paraId="2B4E9838" w14:textId="77777777" w:rsidR="005603F5" w:rsidRPr="00406EBF" w:rsidRDefault="005603F5" w:rsidP="00E36E19">
          <w:pPr>
            <w:tabs>
              <w:tab w:val="left" w:pos="709"/>
            </w:tabs>
            <w:spacing w:line="240" w:lineRule="auto"/>
            <w:jc w:val="both"/>
            <w:rPr>
              <w:rFonts w:cstheme="minorHAnsi"/>
              <w:sz w:val="23"/>
              <w:szCs w:val="23"/>
            </w:rPr>
          </w:pPr>
        </w:p>
        <w:p w14:paraId="736BA76A" w14:textId="77777777" w:rsidR="00D042B3" w:rsidRPr="00406EBF" w:rsidRDefault="00D042B3" w:rsidP="00D042B3">
          <w:pPr>
            <w:tabs>
              <w:tab w:val="left" w:pos="709"/>
            </w:tabs>
            <w:spacing w:line="240" w:lineRule="auto"/>
            <w:jc w:val="both"/>
            <w:rPr>
              <w:rFonts w:cstheme="minorHAnsi"/>
              <w:sz w:val="23"/>
              <w:szCs w:val="23"/>
            </w:rPr>
          </w:pPr>
        </w:p>
        <w:p w14:paraId="04027117" w14:textId="77777777" w:rsidR="00D042B3" w:rsidRPr="00406EBF" w:rsidRDefault="00D042B3" w:rsidP="00D042B3">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sanctions disciplinaires légères sont :</w:t>
          </w:r>
        </w:p>
        <w:p w14:paraId="6CB94244"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 l'avertissement;</w:t>
          </w:r>
        </w:p>
        <w:p w14:paraId="1A300C6A"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 le blâme;</w:t>
          </w:r>
        </w:p>
        <w:p w14:paraId="4058EC97" w14:textId="77777777" w:rsidR="00D042B3" w:rsidRPr="00406EBF" w:rsidRDefault="00D042B3" w:rsidP="00D042B3">
          <w:pPr>
            <w:tabs>
              <w:tab w:val="left" w:pos="709"/>
            </w:tabs>
            <w:spacing w:line="240" w:lineRule="auto"/>
            <w:jc w:val="both"/>
            <w:rPr>
              <w:rFonts w:cstheme="minorHAnsi"/>
              <w:sz w:val="23"/>
              <w:szCs w:val="23"/>
            </w:rPr>
          </w:pPr>
        </w:p>
        <w:p w14:paraId="2E792B88" w14:textId="77777777" w:rsidR="00D042B3" w:rsidRPr="00406EBF" w:rsidRDefault="00D042B3" w:rsidP="00D042B3">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sanctions disciplinaires lourdes sont :</w:t>
          </w:r>
        </w:p>
        <w:p w14:paraId="7987CF9A"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 la retenue de traitement;</w:t>
          </w:r>
        </w:p>
        <w:p w14:paraId="6A3446EC"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 la suspension par mesure disciplinaire de maximum trois mois;</w:t>
          </w:r>
        </w:p>
        <w:p w14:paraId="7291AEDD"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 la rétrogradation dans l'échelle de traitement;</w:t>
          </w:r>
        </w:p>
        <w:p w14:paraId="59EE3A09"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sidRPr="00406EBF">
            <w:rPr>
              <w:rFonts w:cstheme="minorHAnsi"/>
              <w:sz w:val="23"/>
              <w:szCs w:val="23"/>
            </w:rPr>
            <w:lastRenderedPageBreak/>
            <w:t xml:space="preserve"> la démission d'office;</w:t>
          </w:r>
        </w:p>
        <w:p w14:paraId="23355EE3" w14:textId="7A1251F2" w:rsidR="00D042B3" w:rsidRDefault="00D042B3" w:rsidP="00D042B3">
          <w:pPr>
            <w:numPr>
              <w:ilvl w:val="1"/>
              <w:numId w:val="1"/>
            </w:numPr>
            <w:tabs>
              <w:tab w:val="left" w:pos="709"/>
            </w:tabs>
            <w:spacing w:line="240" w:lineRule="auto"/>
            <w:jc w:val="both"/>
            <w:rPr>
              <w:rFonts w:cstheme="minorHAnsi"/>
              <w:sz w:val="23"/>
              <w:szCs w:val="23"/>
            </w:rPr>
          </w:pPr>
          <w:r w:rsidRPr="00406EBF">
            <w:rPr>
              <w:rFonts w:cstheme="minorHAnsi"/>
              <w:sz w:val="23"/>
              <w:szCs w:val="23"/>
            </w:rPr>
            <w:t xml:space="preserve"> la révocation.</w:t>
          </w:r>
        </w:p>
        <w:p w14:paraId="2BDEB7DD" w14:textId="77777777" w:rsidR="005B0ED1" w:rsidRDefault="005B0ED1" w:rsidP="005B0ED1">
          <w:pPr>
            <w:tabs>
              <w:tab w:val="left" w:pos="709"/>
            </w:tabs>
            <w:spacing w:line="240" w:lineRule="auto"/>
            <w:ind w:left="1080"/>
            <w:jc w:val="both"/>
            <w:rPr>
              <w:rFonts w:cstheme="minorHAnsi"/>
              <w:sz w:val="23"/>
              <w:szCs w:val="23"/>
            </w:rPr>
          </w:pPr>
        </w:p>
        <w:p w14:paraId="242D01D2" w14:textId="1B7A5E9F" w:rsidR="00861573" w:rsidRDefault="005B0ED1" w:rsidP="00471D7D">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Le membre du personnel mis en cause ou son représentant peut introduire un mémoire en défense</w:t>
          </w:r>
          <w:r w:rsidR="00861573">
            <w:rPr>
              <w:rFonts w:cstheme="minorHAnsi"/>
              <w:sz w:val="23"/>
              <w:szCs w:val="23"/>
            </w:rPr>
            <w:t>. Dans ce mémoire, il peut demander à être entendu oralement et demander l’audition de témoins. Il peut également déposer des pièces. Dans certains cas, l’avis de certaines autorités – Procureur du Roi, Procureur fédéral, ministre de la Justice – doit être recueill</w:t>
          </w:r>
          <w:r w:rsidR="0057601D">
            <w:rPr>
              <w:rFonts w:cstheme="minorHAnsi"/>
              <w:sz w:val="23"/>
              <w:szCs w:val="23"/>
            </w:rPr>
            <w:t>i</w:t>
          </w:r>
          <w:r w:rsidR="00861573">
            <w:rPr>
              <w:rFonts w:cstheme="minorHAnsi"/>
              <w:sz w:val="23"/>
              <w:szCs w:val="23"/>
            </w:rPr>
            <w:t xml:space="preserve"> par l’autorité disciplinaire supérieure avant d’infliger une sanction lourde.</w:t>
          </w:r>
          <w:r w:rsidR="0057601D">
            <w:rPr>
              <w:rFonts w:cstheme="minorHAnsi"/>
              <w:sz w:val="23"/>
              <w:szCs w:val="23"/>
            </w:rPr>
            <w:t xml:space="preserve"> </w:t>
          </w:r>
          <w:r w:rsidR="0057601D" w:rsidRPr="0057601D">
            <w:rPr>
              <w:rFonts w:cstheme="minorHAnsi"/>
              <w:sz w:val="23"/>
              <w:szCs w:val="23"/>
            </w:rPr>
            <w:t>Sur la base du dossier complet, l’autorité disciplinaire rend sa décision : classement sans suite, sanction disciplinaire légère ou sanction disciplinaire lourde.</w:t>
          </w:r>
        </w:p>
        <w:p w14:paraId="408CB149" w14:textId="77777777" w:rsidR="009C51F2" w:rsidRDefault="009C51F2" w:rsidP="009C51F2">
          <w:pPr>
            <w:tabs>
              <w:tab w:val="left" w:pos="709"/>
            </w:tabs>
            <w:spacing w:line="240" w:lineRule="auto"/>
            <w:jc w:val="both"/>
            <w:rPr>
              <w:rFonts w:cstheme="minorHAnsi"/>
              <w:sz w:val="23"/>
              <w:szCs w:val="23"/>
            </w:rPr>
          </w:pPr>
        </w:p>
        <w:p w14:paraId="4E96ADAE" w14:textId="489AA836" w:rsidR="0065689F" w:rsidRDefault="00C307C8" w:rsidP="00C307C8">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Un</w:t>
          </w:r>
          <w:r w:rsidR="0057601D">
            <w:rPr>
              <w:rFonts w:cstheme="minorHAnsi"/>
              <w:sz w:val="23"/>
              <w:szCs w:val="23"/>
            </w:rPr>
            <w:t>e requête en reconsidération</w:t>
          </w:r>
          <w:r w:rsidR="00471D7D">
            <w:rPr>
              <w:rFonts w:cstheme="minorHAnsi"/>
              <w:sz w:val="23"/>
              <w:szCs w:val="23"/>
            </w:rPr>
            <w:t xml:space="preserve"> </w:t>
          </w:r>
          <w:r w:rsidRPr="00406EBF">
            <w:rPr>
              <w:rFonts w:cstheme="minorHAnsi"/>
              <w:sz w:val="23"/>
              <w:szCs w:val="23"/>
            </w:rPr>
            <w:t xml:space="preserve">est possible pour les sanctions lourdes devant le </w:t>
          </w:r>
          <w:r w:rsidR="0057601D">
            <w:rPr>
              <w:rFonts w:cstheme="minorHAnsi"/>
              <w:sz w:val="23"/>
              <w:szCs w:val="23"/>
            </w:rPr>
            <w:t>C</w:t>
          </w:r>
          <w:r w:rsidRPr="00406EBF">
            <w:rPr>
              <w:rFonts w:cstheme="minorHAnsi"/>
              <w:sz w:val="23"/>
              <w:szCs w:val="23"/>
            </w:rPr>
            <w:t xml:space="preserve">onseil de discipline. </w:t>
          </w:r>
          <w:r w:rsidR="0057601D">
            <w:rPr>
              <w:rFonts w:cstheme="minorHAnsi"/>
              <w:sz w:val="23"/>
              <w:szCs w:val="23"/>
            </w:rPr>
            <w:t>Le Conseil de discipline est un organe permanent à l’échelon national</w:t>
          </w:r>
          <w:r w:rsidR="0065689F">
            <w:rPr>
              <w:rFonts w:cstheme="minorHAnsi"/>
              <w:sz w:val="23"/>
              <w:szCs w:val="23"/>
            </w:rPr>
            <w:t xml:space="preserve"> qui a une compétence purement consultative. Il comporte une ou plusieurs chambres francophones, une ou plusieurs chambres néerlandophones et une chambre germanophone, en fonction du volume des affaires. Chaque chambre est composée : d’un président, magistrat du siège désigné par le Roi pour cinq ans ; d’un assesseur du même cadre que le comparant (opérationnel ou CAlog), désigné pour deux ans conjointement par le ministre de l’Intérieur et le ministre de la Justice ; d’un assesseur désigné pour deux ans par le ministre de l’Intérieur et qui n’est ni membre d’un service de police, ni membre d’un cabinet ministériel fédéral. </w:t>
          </w:r>
        </w:p>
        <w:p w14:paraId="0A4506C8" w14:textId="77777777" w:rsidR="0065689F" w:rsidRDefault="0065689F" w:rsidP="00471D7D">
          <w:pPr>
            <w:tabs>
              <w:tab w:val="left" w:pos="709"/>
            </w:tabs>
            <w:spacing w:line="240" w:lineRule="auto"/>
            <w:jc w:val="both"/>
            <w:rPr>
              <w:rFonts w:cstheme="minorHAnsi"/>
              <w:sz w:val="23"/>
              <w:szCs w:val="23"/>
            </w:rPr>
          </w:pPr>
        </w:p>
        <w:p w14:paraId="192FC640" w14:textId="26595B14" w:rsidR="00C307C8" w:rsidRPr="0065689F" w:rsidRDefault="0065689F" w:rsidP="0065689F">
          <w:pPr>
            <w:numPr>
              <w:ilvl w:val="0"/>
              <w:numId w:val="1"/>
            </w:numPr>
            <w:tabs>
              <w:tab w:val="left" w:pos="709"/>
            </w:tabs>
            <w:spacing w:line="240" w:lineRule="auto"/>
            <w:ind w:left="0" w:firstLine="0"/>
            <w:jc w:val="both"/>
            <w:rPr>
              <w:rFonts w:cstheme="minorHAnsi"/>
              <w:sz w:val="23"/>
              <w:szCs w:val="23"/>
            </w:rPr>
          </w:pPr>
          <w:r w:rsidRPr="0065689F">
            <w:rPr>
              <w:rFonts w:cstheme="minorHAnsi"/>
              <w:sz w:val="23"/>
              <w:szCs w:val="23"/>
            </w:rPr>
            <w:t xml:space="preserve">Le membre du personnel concerné, l’autorité disciplinaire supérieure qui a proposé la sanction et l’Inspecteur général sont entendus par le Conseil de discipline, qui rend ensuite un avis. L’autorité disciplinaire n’est pas liée par cet avis mais si elle ne le suit pas, elle doit en indiquer les raisons à l’intéressé qui peut déposer un dernier mémoire. Après réception de ce document le cas échéant, l’autorité disciplinaire supérieure rend sa décision définitive. </w:t>
          </w:r>
          <w:r w:rsidR="00C307C8" w:rsidRPr="0065689F" w:rsidDel="0065689F">
            <w:rPr>
              <w:rFonts w:cstheme="minorHAnsi"/>
              <w:sz w:val="23"/>
              <w:szCs w:val="23"/>
            </w:rPr>
            <w:t xml:space="preserve">Un recours est possible devant le </w:t>
          </w:r>
          <w:r w:rsidR="00FE3DF6" w:rsidRPr="0065689F" w:rsidDel="0065689F">
            <w:rPr>
              <w:rFonts w:cstheme="minorHAnsi"/>
              <w:sz w:val="23"/>
              <w:szCs w:val="23"/>
            </w:rPr>
            <w:t>C</w:t>
          </w:r>
          <w:r w:rsidR="00C307C8" w:rsidRPr="0065689F" w:rsidDel="0065689F">
            <w:rPr>
              <w:rFonts w:cstheme="minorHAnsi"/>
              <w:sz w:val="23"/>
              <w:szCs w:val="23"/>
            </w:rPr>
            <w:t>onseil d’Etat pour toutes les sanctions</w:t>
          </w:r>
          <w:r>
            <w:rPr>
              <w:rFonts w:cstheme="minorHAnsi"/>
              <w:sz w:val="23"/>
              <w:szCs w:val="23"/>
            </w:rPr>
            <w:t>, tant légères que lourdes</w:t>
          </w:r>
          <w:r w:rsidR="00C307C8" w:rsidRPr="0065689F" w:rsidDel="0065689F">
            <w:rPr>
              <w:rFonts w:cstheme="minorHAnsi"/>
              <w:sz w:val="23"/>
              <w:szCs w:val="23"/>
            </w:rPr>
            <w:t>.</w:t>
          </w:r>
        </w:p>
        <w:p w14:paraId="58D53AE6" w14:textId="77777777" w:rsidR="007C316A" w:rsidRPr="00406EBF" w:rsidRDefault="007C316A" w:rsidP="00D042B3">
          <w:pPr>
            <w:tabs>
              <w:tab w:val="left" w:pos="709"/>
            </w:tabs>
            <w:spacing w:line="240" w:lineRule="auto"/>
            <w:jc w:val="both"/>
            <w:rPr>
              <w:rFonts w:cstheme="minorHAnsi"/>
              <w:sz w:val="23"/>
              <w:szCs w:val="23"/>
            </w:rPr>
          </w:pPr>
        </w:p>
        <w:p w14:paraId="0741657F"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74" w:name="_Toc2777435"/>
          <w:bookmarkStart w:id="175" w:name="_Toc21339608"/>
          <w:r w:rsidRPr="00406EBF">
            <w:rPr>
              <w:rFonts w:asciiTheme="minorHAnsi" w:hAnsiTheme="minorHAnsi" w:cstheme="minorHAnsi"/>
              <w:b w:val="0"/>
              <w:i/>
              <w:color w:val="auto"/>
              <w:sz w:val="23"/>
              <w:szCs w:val="23"/>
            </w:rPr>
            <w:t>Surveillance et contrôle externes</w:t>
          </w:r>
          <w:bookmarkEnd w:id="174"/>
          <w:bookmarkEnd w:id="175"/>
        </w:p>
        <w:p w14:paraId="72DF67BD" w14:textId="77777777" w:rsidR="007C316A" w:rsidRPr="00406EBF" w:rsidRDefault="007C316A" w:rsidP="001878CC">
          <w:pPr>
            <w:spacing w:line="240" w:lineRule="auto"/>
            <w:jc w:val="both"/>
            <w:rPr>
              <w:rFonts w:cstheme="minorHAnsi"/>
              <w:sz w:val="23"/>
              <w:szCs w:val="23"/>
            </w:rPr>
          </w:pPr>
        </w:p>
        <w:p w14:paraId="7F9BBD1C" w14:textId="38836D2F" w:rsidR="007C316A" w:rsidRPr="00406EBF" w:rsidRDefault="00410C50"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contrôle externe de la police fédérale est exercé </w:t>
          </w:r>
          <w:r w:rsidR="0032094E">
            <w:rPr>
              <w:rFonts w:cstheme="minorHAnsi"/>
              <w:sz w:val="23"/>
              <w:szCs w:val="23"/>
            </w:rPr>
            <w:t xml:space="preserve">entre autres </w:t>
          </w:r>
          <w:r w:rsidRPr="00406EBF">
            <w:rPr>
              <w:rFonts w:cstheme="minorHAnsi"/>
              <w:sz w:val="23"/>
              <w:szCs w:val="23"/>
            </w:rPr>
            <w:t>par deux organes </w:t>
          </w:r>
          <w:r w:rsidR="0032094E">
            <w:rPr>
              <w:rFonts w:cstheme="minorHAnsi"/>
              <w:sz w:val="23"/>
              <w:szCs w:val="23"/>
            </w:rPr>
            <w:t>(sans préjudice du contrôle des autorités judiciaires)</w:t>
          </w:r>
          <w:r w:rsidRPr="00406EBF">
            <w:rPr>
              <w:rFonts w:cstheme="minorHAnsi"/>
              <w:sz w:val="23"/>
              <w:szCs w:val="23"/>
            </w:rPr>
            <w:t>: l’Inspection générale de la police fédérale et de la police locale et le Comité permanent de contrôle des services de police.</w:t>
          </w:r>
        </w:p>
        <w:p w14:paraId="14B2DA54" w14:textId="5C118449" w:rsidR="007C316A" w:rsidRDefault="007C316A" w:rsidP="001878CC">
          <w:pPr>
            <w:spacing w:line="240" w:lineRule="auto"/>
            <w:jc w:val="both"/>
            <w:rPr>
              <w:rFonts w:cstheme="minorHAnsi"/>
              <w:sz w:val="23"/>
              <w:szCs w:val="23"/>
            </w:rPr>
          </w:pPr>
        </w:p>
        <w:p w14:paraId="2C6E856F" w14:textId="77777777" w:rsidR="003A2451" w:rsidRPr="00406EBF" w:rsidRDefault="003A2451" w:rsidP="003A2451">
          <w:pPr>
            <w:keepNext/>
            <w:spacing w:line="240" w:lineRule="auto"/>
            <w:jc w:val="both"/>
            <w:rPr>
              <w:rFonts w:cstheme="minorHAnsi"/>
              <w:sz w:val="23"/>
              <w:szCs w:val="23"/>
            </w:rPr>
          </w:pPr>
          <w:r w:rsidRPr="00406EBF">
            <w:rPr>
              <w:rFonts w:cstheme="minorHAnsi"/>
              <w:sz w:val="23"/>
              <w:szCs w:val="23"/>
              <w:u w:val="single"/>
            </w:rPr>
            <w:t xml:space="preserve">L’Inspection générale de la </w:t>
          </w:r>
          <w:r w:rsidR="002C172E" w:rsidRPr="00406EBF">
            <w:rPr>
              <w:rFonts w:cstheme="minorHAnsi"/>
              <w:sz w:val="23"/>
              <w:szCs w:val="23"/>
              <w:u w:val="single"/>
            </w:rPr>
            <w:t>police fédérale et de la police locale</w:t>
          </w:r>
          <w:r w:rsidR="002C172E" w:rsidRPr="00406EBF">
            <w:rPr>
              <w:rFonts w:cstheme="minorHAnsi"/>
              <w:sz w:val="23"/>
              <w:szCs w:val="23"/>
            </w:rPr>
            <w:t xml:space="preserve"> (AIG)</w:t>
          </w:r>
        </w:p>
        <w:p w14:paraId="2701C0A7" w14:textId="77777777" w:rsidR="003A2451" w:rsidRPr="00406EBF" w:rsidRDefault="003A2451" w:rsidP="001878CC">
          <w:pPr>
            <w:spacing w:line="240" w:lineRule="auto"/>
            <w:jc w:val="both"/>
            <w:rPr>
              <w:rFonts w:cstheme="minorHAnsi"/>
              <w:sz w:val="23"/>
              <w:szCs w:val="23"/>
            </w:rPr>
          </w:pPr>
        </w:p>
        <w:p w14:paraId="09488B88" w14:textId="77777777" w:rsidR="001646B0" w:rsidRPr="00406EBF" w:rsidRDefault="001646B0" w:rsidP="00AD6D5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L’AIG est un service ministériel autonome placé sous l’autorité directe du ministre de la Sécurité et de l’Intérieur et du ministre de la Justice. </w:t>
          </w:r>
          <w:r w:rsidR="002E2403" w:rsidRPr="00406EBF">
            <w:rPr>
              <w:rFonts w:cstheme="minorHAnsi"/>
              <w:sz w:val="23"/>
              <w:szCs w:val="23"/>
            </w:rPr>
            <w:t xml:space="preserve">Elle travaille dans des locaux distincts de ceux de la police et a un budget et un service informatique propres. </w:t>
          </w:r>
          <w:r w:rsidR="00AD6D5B" w:rsidRPr="00406EBF">
            <w:rPr>
              <w:rFonts w:cstheme="minorHAnsi"/>
              <w:sz w:val="23"/>
              <w:szCs w:val="23"/>
            </w:rPr>
            <w:t>Elle est dirigée par un Inspecteur général</w:t>
          </w:r>
          <w:r w:rsidR="00B2631B" w:rsidRPr="00406EBF">
            <w:rPr>
              <w:rFonts w:cstheme="minorHAnsi"/>
              <w:sz w:val="23"/>
              <w:szCs w:val="23"/>
            </w:rPr>
            <w:t xml:space="preserve"> (IG)</w:t>
          </w:r>
          <w:r w:rsidR="00AD6D5B" w:rsidRPr="00406EBF">
            <w:rPr>
              <w:rFonts w:cstheme="minorHAnsi"/>
              <w:sz w:val="23"/>
              <w:szCs w:val="23"/>
            </w:rPr>
            <w:t xml:space="preserve">, assisté d’un adjoint et </w:t>
          </w:r>
          <w:r w:rsidR="002E2403" w:rsidRPr="00406EBF">
            <w:rPr>
              <w:rFonts w:cstheme="minorHAnsi"/>
              <w:sz w:val="23"/>
              <w:szCs w:val="23"/>
            </w:rPr>
            <w:t>son effectif est de</w:t>
          </w:r>
          <w:r w:rsidR="00AD6D5B" w:rsidRPr="00406EBF">
            <w:rPr>
              <w:rFonts w:cstheme="minorHAnsi"/>
              <w:sz w:val="23"/>
              <w:szCs w:val="23"/>
            </w:rPr>
            <w:t xml:space="preserve"> </w:t>
          </w:r>
          <w:r w:rsidR="002E2403" w:rsidRPr="00406EBF">
            <w:rPr>
              <w:rFonts w:cstheme="minorHAnsi"/>
              <w:sz w:val="23"/>
              <w:szCs w:val="23"/>
            </w:rPr>
            <w:t>63</w:t>
          </w:r>
          <w:r w:rsidR="00AD6D5B" w:rsidRPr="00406EBF">
            <w:rPr>
              <w:rFonts w:cstheme="minorHAnsi"/>
              <w:sz w:val="23"/>
              <w:szCs w:val="23"/>
            </w:rPr>
            <w:t xml:space="preserve"> personnes</w:t>
          </w:r>
          <w:r w:rsidR="002E2403" w:rsidRPr="00406EBF">
            <w:rPr>
              <w:rFonts w:cstheme="minorHAnsi"/>
              <w:sz w:val="23"/>
              <w:szCs w:val="23"/>
            </w:rPr>
            <w:t xml:space="preserve"> sur un cadre théorique de 95</w:t>
          </w:r>
          <w:r w:rsidR="00AD6D5B" w:rsidRPr="00406EBF">
            <w:rPr>
              <w:rFonts w:cstheme="minorHAnsi"/>
              <w:sz w:val="23"/>
              <w:szCs w:val="23"/>
            </w:rPr>
            <w:t xml:space="preserve">. L’AIG </w:t>
          </w:r>
          <w:r w:rsidR="002E2403" w:rsidRPr="00406EBF">
            <w:rPr>
              <w:rFonts w:cstheme="minorHAnsi"/>
              <w:sz w:val="23"/>
              <w:szCs w:val="23"/>
            </w:rPr>
            <w:t xml:space="preserve">mène les enquêtes judiciaires dans les dossiers visant le comportement d’un membre de la police – ce qui représente 90% de son activité – </w:t>
          </w:r>
          <w:r w:rsidR="00AD6D5B" w:rsidRPr="00406EBF">
            <w:rPr>
              <w:rFonts w:cstheme="minorHAnsi"/>
              <w:sz w:val="23"/>
              <w:szCs w:val="23"/>
            </w:rPr>
            <w:t xml:space="preserve">effectue des tâches d’inspection, traite les plaintes administratives </w:t>
          </w:r>
          <w:r w:rsidR="002E2403" w:rsidRPr="00406EBF">
            <w:rPr>
              <w:rFonts w:cstheme="minorHAnsi"/>
              <w:sz w:val="23"/>
              <w:szCs w:val="23"/>
            </w:rPr>
            <w:t xml:space="preserve">et </w:t>
          </w:r>
          <w:r w:rsidR="00AD6D5B" w:rsidRPr="00406EBF">
            <w:rPr>
              <w:rFonts w:cstheme="minorHAnsi"/>
              <w:sz w:val="23"/>
              <w:szCs w:val="23"/>
            </w:rPr>
            <w:t xml:space="preserve">développe des </w:t>
          </w:r>
          <w:r w:rsidR="00913074" w:rsidRPr="00406EBF">
            <w:rPr>
              <w:rFonts w:cstheme="minorHAnsi"/>
              <w:sz w:val="23"/>
              <w:szCs w:val="23"/>
            </w:rPr>
            <w:t xml:space="preserve">activités d’audit et de </w:t>
          </w:r>
          <w:r w:rsidR="00AD6D5B" w:rsidRPr="00406EBF">
            <w:rPr>
              <w:rFonts w:cstheme="minorHAnsi"/>
              <w:sz w:val="23"/>
              <w:szCs w:val="23"/>
            </w:rPr>
            <w:t>médiation en appui des ser</w:t>
          </w:r>
          <w:r w:rsidR="00FE3DF6">
            <w:rPr>
              <w:rFonts w:cstheme="minorHAnsi"/>
              <w:sz w:val="23"/>
              <w:szCs w:val="23"/>
            </w:rPr>
            <w:t>v</w:t>
          </w:r>
          <w:r w:rsidR="00AD6D5B" w:rsidRPr="00406EBF">
            <w:rPr>
              <w:rFonts w:cstheme="minorHAnsi"/>
              <w:sz w:val="23"/>
              <w:szCs w:val="23"/>
            </w:rPr>
            <w:t>ices de police.</w:t>
          </w:r>
        </w:p>
        <w:p w14:paraId="3F1D911C" w14:textId="77777777" w:rsidR="00913074" w:rsidRPr="00406EBF" w:rsidRDefault="00913074" w:rsidP="00913074">
          <w:pPr>
            <w:tabs>
              <w:tab w:val="left" w:pos="709"/>
            </w:tabs>
            <w:spacing w:line="240" w:lineRule="auto"/>
            <w:jc w:val="both"/>
            <w:rPr>
              <w:rFonts w:cstheme="minorHAnsi"/>
              <w:sz w:val="23"/>
              <w:szCs w:val="23"/>
            </w:rPr>
          </w:pPr>
        </w:p>
        <w:p w14:paraId="6C54BB8E" w14:textId="77777777" w:rsidR="00DE154D" w:rsidRPr="00406EBF" w:rsidRDefault="00913074" w:rsidP="00DE154D">
          <w:pPr>
            <w:numPr>
              <w:ilvl w:val="0"/>
              <w:numId w:val="1"/>
            </w:numPr>
            <w:tabs>
              <w:tab w:val="left" w:pos="709"/>
            </w:tabs>
            <w:spacing w:line="240" w:lineRule="auto"/>
            <w:ind w:left="0" w:firstLine="0"/>
            <w:jc w:val="both"/>
            <w:rPr>
              <w:b/>
              <w:sz w:val="21"/>
              <w:szCs w:val="21"/>
            </w:rPr>
          </w:pPr>
          <w:r w:rsidRPr="00406EBF">
            <w:rPr>
              <w:rFonts w:cstheme="minorHAnsi"/>
              <w:sz w:val="23"/>
              <w:szCs w:val="23"/>
            </w:rPr>
            <w:t xml:space="preserve">L’EEG note que les effectifs de l’AIG ont diminué de 20% entre 2014 et 2017 et qu’un tiers de son cadre théorique est actuellement non pourvu. Parallèlement, ses missions ont augmenté sans que des moyens supplémentaires ne lui aient été octroyés. En ligne avec ses remarques générales sur le manque de moyens dans la police fédérale, l’EEG encourage les autorités </w:t>
          </w:r>
          <w:r w:rsidR="00DE154D" w:rsidRPr="00406EBF">
            <w:rPr>
              <w:rFonts w:cstheme="minorHAnsi"/>
              <w:sz w:val="23"/>
              <w:szCs w:val="23"/>
            </w:rPr>
            <w:t>à s’assurer que l’AIG dispose des moyens financiers, personnels et techniques adéquats pour remplir toutes ses missions.</w:t>
          </w:r>
        </w:p>
        <w:p w14:paraId="09AC355E" w14:textId="77777777" w:rsidR="00DE154D" w:rsidRPr="00406EBF" w:rsidRDefault="00DE154D" w:rsidP="00DE154D">
          <w:pPr>
            <w:rPr>
              <w:b/>
              <w:sz w:val="21"/>
              <w:szCs w:val="21"/>
            </w:rPr>
          </w:pPr>
        </w:p>
        <w:p w14:paraId="2E881783" w14:textId="77777777" w:rsidR="006E53D5" w:rsidRPr="00406EBF" w:rsidRDefault="006E53D5" w:rsidP="00AD6D5B">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 xml:space="preserve">L’IG et les IG adjoints sont désignés à ces emplois par le Roi pour un </w:t>
          </w:r>
          <w:r w:rsidR="00B2631B" w:rsidRPr="00406EBF">
            <w:rPr>
              <w:rFonts w:cstheme="minorHAnsi"/>
              <w:sz w:val="23"/>
              <w:szCs w:val="23"/>
            </w:rPr>
            <w:t>mandat</w:t>
          </w:r>
          <w:r w:rsidRPr="00406EBF">
            <w:rPr>
              <w:rFonts w:cstheme="minorHAnsi"/>
              <w:sz w:val="23"/>
              <w:szCs w:val="23"/>
            </w:rPr>
            <w:t xml:space="preserve"> </w:t>
          </w:r>
          <w:r w:rsidR="00B2631B" w:rsidRPr="00406EBF">
            <w:rPr>
              <w:rFonts w:cstheme="minorHAnsi"/>
              <w:sz w:val="23"/>
              <w:szCs w:val="23"/>
            </w:rPr>
            <w:t xml:space="preserve">renouvelable </w:t>
          </w:r>
          <w:r w:rsidRPr="00406EBF">
            <w:rPr>
              <w:rFonts w:cstheme="minorHAnsi"/>
              <w:sz w:val="23"/>
              <w:szCs w:val="23"/>
            </w:rPr>
            <w:t>de cinq ans, sur propos</w:t>
          </w:r>
          <w:r w:rsidR="00B2631B" w:rsidRPr="00406EBF">
            <w:rPr>
              <w:rFonts w:cstheme="minorHAnsi"/>
              <w:sz w:val="23"/>
              <w:szCs w:val="23"/>
            </w:rPr>
            <w:t>i</w:t>
          </w:r>
          <w:r w:rsidRPr="00406EBF">
            <w:rPr>
              <w:rFonts w:cstheme="minorHAnsi"/>
              <w:sz w:val="23"/>
              <w:szCs w:val="23"/>
            </w:rPr>
            <w:t>tion conjointe des ministres de la Justice et de l’Intérieur. Les autres membres de l’AIG sont nommés, selon leur fonction, par le Roi ou le ministre de l’I</w:t>
          </w:r>
          <w:r w:rsidR="00E65B73" w:rsidRPr="00406EBF">
            <w:rPr>
              <w:rFonts w:cstheme="minorHAnsi"/>
              <w:sz w:val="23"/>
              <w:szCs w:val="23"/>
            </w:rPr>
            <w:t>n</w:t>
          </w:r>
          <w:r w:rsidRPr="00406EBF">
            <w:rPr>
              <w:rFonts w:cstheme="minorHAnsi"/>
              <w:sz w:val="23"/>
              <w:szCs w:val="23"/>
            </w:rPr>
            <w:t>térieur</w:t>
          </w:r>
          <w:r w:rsidR="00E65B73" w:rsidRPr="00406EBF">
            <w:rPr>
              <w:rFonts w:cstheme="minorHAnsi"/>
              <w:sz w:val="23"/>
              <w:szCs w:val="23"/>
            </w:rPr>
            <w:t xml:space="preserve">. Tout candidat à l’AIG doit entre autres compter au moins 10 ans de service dans la police intégrée et être de conduite irréprochable. </w:t>
          </w:r>
        </w:p>
        <w:p w14:paraId="35FAD78E" w14:textId="77777777" w:rsidR="00AD6D5B" w:rsidRPr="00406EBF" w:rsidRDefault="00AD6D5B" w:rsidP="00AD6D5B">
          <w:pPr>
            <w:tabs>
              <w:tab w:val="left" w:pos="709"/>
            </w:tabs>
            <w:spacing w:line="240" w:lineRule="auto"/>
            <w:jc w:val="both"/>
            <w:rPr>
              <w:rFonts w:cstheme="minorHAnsi"/>
              <w:sz w:val="23"/>
              <w:szCs w:val="23"/>
            </w:rPr>
          </w:pPr>
        </w:p>
        <w:p w14:paraId="732C29B1" w14:textId="77777777" w:rsidR="001646B0" w:rsidRPr="00406EBF" w:rsidRDefault="00C55092"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membres de l’AIG possèdent un droit d’inspection général et permanent. Ils peuvent librement entendre les membres des services de police, accéder aux lieux où ils exercent leurs fonctions, </w:t>
          </w:r>
          <w:r w:rsidR="00DD2DE7" w:rsidRPr="00406EBF">
            <w:rPr>
              <w:rFonts w:cstheme="minorHAnsi"/>
              <w:sz w:val="23"/>
              <w:szCs w:val="23"/>
            </w:rPr>
            <w:t xml:space="preserve">avoir copie de tous les documents et objets utiles à leurs missions. </w:t>
          </w:r>
          <w:r w:rsidR="00B2631B" w:rsidRPr="00406EBF">
            <w:rPr>
              <w:rFonts w:cstheme="minorHAnsi"/>
              <w:sz w:val="23"/>
              <w:szCs w:val="23"/>
            </w:rPr>
            <w:t>L’AIG</w:t>
          </w:r>
          <w:r w:rsidR="00DD2DE7" w:rsidRPr="00406EBF">
            <w:rPr>
              <w:rFonts w:cstheme="minorHAnsi"/>
              <w:sz w:val="23"/>
              <w:szCs w:val="23"/>
            </w:rPr>
            <w:t xml:space="preserve"> dispose d’un droit d’évocation de toutes les plaintes et dénonciations adressées aux services de police.</w:t>
          </w:r>
        </w:p>
        <w:p w14:paraId="0048539B" w14:textId="77777777" w:rsidR="00DD2DE7" w:rsidRPr="00406EBF" w:rsidRDefault="00DD2DE7" w:rsidP="00DD2DE7">
          <w:pPr>
            <w:pStyle w:val="Paragraphedeliste"/>
            <w:rPr>
              <w:rFonts w:cstheme="minorHAnsi"/>
              <w:sz w:val="23"/>
              <w:szCs w:val="23"/>
            </w:rPr>
          </w:pPr>
        </w:p>
        <w:p w14:paraId="71BC0ECA" w14:textId="77777777" w:rsidR="00DD2DE7" w:rsidRPr="00406EBF" w:rsidRDefault="00DD2DE7"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L’AIG agit soit :</w:t>
          </w:r>
        </w:p>
        <w:p w14:paraId="56903F0A" w14:textId="77777777" w:rsidR="00DD2DE7" w:rsidRPr="00406EBF" w:rsidRDefault="00DD2DE7" w:rsidP="00DD2DE7">
          <w:pPr>
            <w:pStyle w:val="Paragraphedeliste"/>
            <w:rPr>
              <w:rFonts w:cstheme="minorHAnsi"/>
              <w:sz w:val="23"/>
              <w:szCs w:val="23"/>
            </w:rPr>
          </w:pPr>
        </w:p>
        <w:p w14:paraId="76CF3AD2"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d’initiative ;</w:t>
          </w:r>
        </w:p>
        <w:p w14:paraId="0710827A"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sur ordre du ministre de la Sécurité et de l'Intérieur ou du ministre de la Justice ;</w:t>
          </w:r>
        </w:p>
        <w:p w14:paraId="1F6A4349"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 xml:space="preserve">à la demande des autorités judiciaires, plus particulièrement du procureur fédéral, des procureurs généraux et/ou des procureurs du Roi ; </w:t>
          </w:r>
        </w:p>
        <w:p w14:paraId="4AA40D81"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à la demande des autorités administratives ;</w:t>
          </w:r>
        </w:p>
        <w:p w14:paraId="12A6DA5E"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à la demande du Conseil fédéral de police ;</w:t>
          </w:r>
        </w:p>
        <w:p w14:paraId="26140D16"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à la demande d’un chef de corps de police locale ;</w:t>
          </w:r>
        </w:p>
        <w:p w14:paraId="6A46BCA9"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à la demande du Commissaire général ainsi que des directeurs généraux de la police fédérale</w:t>
          </w:r>
          <w:r w:rsidR="00FE3DF6">
            <w:rPr>
              <w:rFonts w:cstheme="minorHAnsi"/>
              <w:sz w:val="21"/>
              <w:szCs w:val="21"/>
              <w:lang w:val="fr-BE"/>
            </w:rPr>
            <w:t> ;</w:t>
          </w:r>
        </w:p>
        <w:p w14:paraId="36C09E06"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à la demande de tout membre de la police intégrée ou d'une organisation syndicale ;</w:t>
          </w:r>
        </w:p>
        <w:p w14:paraId="167B24F9" w14:textId="77777777" w:rsidR="006E53D5" w:rsidRPr="00406EBF" w:rsidRDefault="006E53D5" w:rsidP="006E53D5">
          <w:pPr>
            <w:numPr>
              <w:ilvl w:val="0"/>
              <w:numId w:val="31"/>
            </w:numPr>
            <w:spacing w:line="240" w:lineRule="auto"/>
            <w:jc w:val="both"/>
            <w:rPr>
              <w:rFonts w:cstheme="minorHAnsi"/>
              <w:sz w:val="21"/>
              <w:szCs w:val="21"/>
              <w:lang w:val="fr-BE"/>
            </w:rPr>
          </w:pPr>
          <w:r w:rsidRPr="00406EBF">
            <w:rPr>
              <w:rFonts w:cstheme="minorHAnsi"/>
              <w:sz w:val="21"/>
              <w:szCs w:val="21"/>
              <w:lang w:val="fr-BE"/>
            </w:rPr>
            <w:t>à la demande d’un citoyen.</w:t>
          </w:r>
        </w:p>
        <w:p w14:paraId="0D46214D" w14:textId="77777777" w:rsidR="006E53D5" w:rsidRPr="00406EBF" w:rsidRDefault="006E53D5" w:rsidP="006E53D5">
          <w:pPr>
            <w:spacing w:line="240" w:lineRule="auto"/>
            <w:jc w:val="both"/>
            <w:rPr>
              <w:rFonts w:cstheme="minorHAnsi"/>
              <w:sz w:val="21"/>
              <w:szCs w:val="21"/>
              <w:lang w:val="fr-BE"/>
            </w:rPr>
          </w:pPr>
        </w:p>
        <w:p w14:paraId="56784D54" w14:textId="63C5E703" w:rsidR="006E53D5" w:rsidRDefault="00E65B73"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L’AIG soumet le résultat de</w:t>
          </w:r>
          <w:r w:rsidR="00B2631B" w:rsidRPr="00406EBF">
            <w:rPr>
              <w:rFonts w:cstheme="minorHAnsi"/>
              <w:sz w:val="23"/>
              <w:szCs w:val="23"/>
            </w:rPr>
            <w:t xml:space="preserve"> se</w:t>
          </w:r>
          <w:r w:rsidRPr="00406EBF">
            <w:rPr>
              <w:rFonts w:cstheme="minorHAnsi"/>
              <w:sz w:val="23"/>
              <w:szCs w:val="23"/>
            </w:rPr>
            <w:t>s inspections et audits au ministre de la Sécurité et de l’Intérieur, au min</w:t>
          </w:r>
          <w:r w:rsidR="00B2631B" w:rsidRPr="00406EBF">
            <w:rPr>
              <w:rFonts w:cstheme="minorHAnsi"/>
              <w:sz w:val="23"/>
              <w:szCs w:val="23"/>
            </w:rPr>
            <w:t>i</w:t>
          </w:r>
          <w:r w:rsidRPr="00406EBF">
            <w:rPr>
              <w:rFonts w:cstheme="minorHAnsi"/>
              <w:sz w:val="23"/>
              <w:szCs w:val="23"/>
            </w:rPr>
            <w:t xml:space="preserve">stre de la Justice et à l’autorité qui l’a saisie.  Elle peut adresser des </w:t>
          </w:r>
          <w:r w:rsidR="00B2631B" w:rsidRPr="00406EBF">
            <w:rPr>
              <w:rFonts w:cstheme="minorHAnsi"/>
              <w:sz w:val="23"/>
              <w:szCs w:val="23"/>
            </w:rPr>
            <w:t>recommandations pour</w:t>
          </w:r>
          <w:r w:rsidRPr="00406EBF">
            <w:rPr>
              <w:rFonts w:cstheme="minorHAnsi"/>
              <w:sz w:val="23"/>
              <w:szCs w:val="23"/>
            </w:rPr>
            <w:t xml:space="preserve"> remédier aux difficultés constatées et améliorer le fonct</w:t>
          </w:r>
          <w:r w:rsidR="00B2631B" w:rsidRPr="00406EBF">
            <w:rPr>
              <w:rFonts w:cstheme="minorHAnsi"/>
              <w:sz w:val="23"/>
              <w:szCs w:val="23"/>
            </w:rPr>
            <w:t>i</w:t>
          </w:r>
          <w:r w:rsidRPr="00406EBF">
            <w:rPr>
              <w:rFonts w:cstheme="minorHAnsi"/>
              <w:sz w:val="23"/>
              <w:szCs w:val="23"/>
            </w:rPr>
            <w:t xml:space="preserve">onnement du service concerné. Elle est informée par écrit des suites données à ses recommandations. </w:t>
          </w:r>
          <w:r w:rsidR="005F7BC5" w:rsidRPr="00406EBF">
            <w:rPr>
              <w:rFonts w:cstheme="minorHAnsi"/>
              <w:sz w:val="23"/>
              <w:szCs w:val="23"/>
            </w:rPr>
            <w:t>Si des faits de nature à entraîner une procédure disciplinaire ou judiciaire sont constatés à l’occasion de l’exécution de ses missions, l’AIG en donne connaissance à l’autorité compétente.</w:t>
          </w:r>
        </w:p>
        <w:p w14:paraId="3A3C3AA1" w14:textId="77777777" w:rsidR="0032094E" w:rsidRDefault="0032094E" w:rsidP="0032094E">
          <w:pPr>
            <w:tabs>
              <w:tab w:val="left" w:pos="709"/>
            </w:tabs>
            <w:spacing w:line="240" w:lineRule="auto"/>
            <w:jc w:val="both"/>
            <w:rPr>
              <w:rFonts w:cstheme="minorHAnsi"/>
              <w:sz w:val="23"/>
              <w:szCs w:val="23"/>
            </w:rPr>
          </w:pPr>
        </w:p>
        <w:p w14:paraId="1BE60E79" w14:textId="57393CE3" w:rsidR="0032094E" w:rsidRPr="00406EBF" w:rsidRDefault="0032094E" w:rsidP="00573F4C">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En outre, par ses missions statutaires, l’Inspecteur général veille à l’intégrité des membres du personnel avant le début de leur carrière : il évalue celle-ci lors des stages probatoires, des évaluations professionnelles, de l’accession au grade de CDP, de l’attribution des fonctions à mandat ainsi que lors de ses expertises disciplinaires.</w:t>
          </w:r>
        </w:p>
        <w:p w14:paraId="603B7EDC" w14:textId="77777777" w:rsidR="00DD2DE7" w:rsidRPr="00406EBF" w:rsidRDefault="00DD2DE7" w:rsidP="00573F4C">
          <w:pPr>
            <w:tabs>
              <w:tab w:val="left" w:pos="709"/>
            </w:tabs>
            <w:spacing w:line="240" w:lineRule="auto"/>
            <w:jc w:val="both"/>
            <w:rPr>
              <w:rFonts w:cstheme="minorHAnsi"/>
              <w:sz w:val="23"/>
              <w:szCs w:val="23"/>
            </w:rPr>
          </w:pPr>
        </w:p>
        <w:p w14:paraId="657E949D" w14:textId="77777777" w:rsidR="00220A2F" w:rsidRPr="00406EBF" w:rsidRDefault="00220A2F" w:rsidP="00220A2F">
          <w:pPr>
            <w:keepNext/>
            <w:spacing w:line="240" w:lineRule="auto"/>
            <w:jc w:val="both"/>
            <w:rPr>
              <w:rFonts w:cstheme="minorHAnsi"/>
              <w:sz w:val="23"/>
              <w:szCs w:val="23"/>
            </w:rPr>
          </w:pPr>
          <w:r w:rsidRPr="00406EBF">
            <w:rPr>
              <w:rFonts w:cstheme="minorHAnsi"/>
              <w:sz w:val="23"/>
              <w:szCs w:val="23"/>
              <w:u w:val="single"/>
            </w:rPr>
            <w:t>Le comité permanent de contrôle des service</w:t>
          </w:r>
          <w:r w:rsidR="00654A1D" w:rsidRPr="00406EBF">
            <w:rPr>
              <w:rFonts w:cstheme="minorHAnsi"/>
              <w:sz w:val="23"/>
              <w:szCs w:val="23"/>
              <w:u w:val="single"/>
            </w:rPr>
            <w:t>s</w:t>
          </w:r>
          <w:r w:rsidRPr="00406EBF">
            <w:rPr>
              <w:rFonts w:cstheme="minorHAnsi"/>
              <w:sz w:val="23"/>
              <w:szCs w:val="23"/>
              <w:u w:val="single"/>
            </w:rPr>
            <w:t xml:space="preserve"> de police</w:t>
          </w:r>
          <w:r w:rsidRPr="00406EBF">
            <w:rPr>
              <w:rFonts w:cstheme="minorHAnsi"/>
              <w:sz w:val="23"/>
              <w:szCs w:val="23"/>
            </w:rPr>
            <w:t xml:space="preserve"> (Comité P)</w:t>
          </w:r>
        </w:p>
        <w:p w14:paraId="44182AF2" w14:textId="77777777" w:rsidR="00220A2F" w:rsidRPr="00406EBF" w:rsidRDefault="00220A2F" w:rsidP="006E53D5">
          <w:pPr>
            <w:tabs>
              <w:tab w:val="left" w:pos="709"/>
            </w:tabs>
            <w:spacing w:line="240" w:lineRule="auto"/>
            <w:jc w:val="both"/>
            <w:rPr>
              <w:rFonts w:cstheme="minorHAnsi"/>
              <w:sz w:val="23"/>
              <w:szCs w:val="23"/>
            </w:rPr>
          </w:pPr>
        </w:p>
        <w:p w14:paraId="6E344C92" w14:textId="77777777" w:rsidR="00573F4C" w:rsidRPr="00406EBF" w:rsidRDefault="005C166B"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Institué par la loi du 18 juillet 1991 du contrôle des services de police et de renseignement, l</w:t>
          </w:r>
          <w:r w:rsidR="00573F4C" w:rsidRPr="00406EBF">
            <w:rPr>
              <w:rFonts w:cstheme="minorHAnsi"/>
              <w:sz w:val="23"/>
              <w:szCs w:val="23"/>
            </w:rPr>
            <w:t>e Comité P </w:t>
          </w:r>
          <w:r w:rsidRPr="00406EBF">
            <w:rPr>
              <w:rFonts w:cstheme="minorHAnsi"/>
              <w:sz w:val="23"/>
              <w:szCs w:val="23"/>
            </w:rPr>
            <w:t xml:space="preserve">est un organe de contrôle externe des services de police placé sous l’égide du Parlement fédéral. Il </w:t>
          </w:r>
          <w:r w:rsidR="00573F4C" w:rsidRPr="00406EBF">
            <w:rPr>
              <w:rFonts w:cstheme="minorHAnsi"/>
              <w:sz w:val="23"/>
              <w:szCs w:val="23"/>
            </w:rPr>
            <w:t>veille en particulier à la manière dont l’efficacité et la coordination des services de police sont réalisées ainsi qu’à la façon dont les libertés et les droits fondamentaux des citoyens sont respectés par les services de police.</w:t>
          </w:r>
        </w:p>
        <w:p w14:paraId="676A61E4" w14:textId="77777777" w:rsidR="00573F4C" w:rsidRPr="00406EBF" w:rsidRDefault="00573F4C" w:rsidP="00573F4C">
          <w:pPr>
            <w:tabs>
              <w:tab w:val="left" w:pos="709"/>
            </w:tabs>
            <w:spacing w:line="240" w:lineRule="auto"/>
            <w:jc w:val="both"/>
            <w:rPr>
              <w:rFonts w:cstheme="minorHAnsi"/>
              <w:sz w:val="23"/>
              <w:szCs w:val="23"/>
            </w:rPr>
          </w:pPr>
        </w:p>
        <w:p w14:paraId="773A548C" w14:textId="77777777" w:rsidR="0095106D" w:rsidRPr="00406EBF" w:rsidRDefault="00573F4C" w:rsidP="00436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Comité P est composé d’un collège décisionnel composé de 5 membres, dénommé le « Comité permanent P », qui est assisté dans ses tâches par un service d’enquêtes, dénommé le « Service d’enquêtes P », et appuyé par un service administratif. </w:t>
          </w:r>
        </w:p>
        <w:p w14:paraId="13CA6E35" w14:textId="77777777" w:rsidR="005C166B" w:rsidRPr="00406EBF" w:rsidRDefault="005C166B" w:rsidP="005C166B">
          <w:pPr>
            <w:pStyle w:val="Paragraphedeliste"/>
            <w:rPr>
              <w:rFonts w:cstheme="minorHAnsi"/>
              <w:sz w:val="23"/>
              <w:szCs w:val="23"/>
            </w:rPr>
          </w:pPr>
        </w:p>
        <w:p w14:paraId="57F297BB" w14:textId="77777777" w:rsidR="00573F4C" w:rsidRPr="00406EBF" w:rsidRDefault="00654A1D"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lastRenderedPageBreak/>
            <w:t xml:space="preserve">Les membres du Comité permanent P sont nommés par le Parlement pour un mandat </w:t>
          </w:r>
          <w:r w:rsidR="005C166B" w:rsidRPr="00406EBF">
            <w:rPr>
              <w:rFonts w:cstheme="minorHAnsi"/>
              <w:sz w:val="23"/>
              <w:szCs w:val="23"/>
            </w:rPr>
            <w:t xml:space="preserve">renouvelable </w:t>
          </w:r>
          <w:r w:rsidRPr="00406EBF">
            <w:rPr>
              <w:rFonts w:cstheme="minorHAnsi"/>
              <w:sz w:val="23"/>
              <w:szCs w:val="23"/>
            </w:rPr>
            <w:t xml:space="preserve">de six ans. </w:t>
          </w:r>
          <w:r w:rsidR="005C166B" w:rsidRPr="00406EBF">
            <w:rPr>
              <w:rFonts w:cstheme="minorHAnsi"/>
              <w:sz w:val="23"/>
              <w:szCs w:val="23"/>
            </w:rPr>
            <w:t xml:space="preserve">Pour être nommés, ils doivent posséder </w:t>
          </w:r>
          <w:r w:rsidRPr="00406EBF">
            <w:rPr>
              <w:rFonts w:cstheme="minorHAnsi"/>
              <w:sz w:val="23"/>
              <w:szCs w:val="23"/>
            </w:rPr>
            <w:t xml:space="preserve">une expérience pertinente d’au moins 7 ans dans des fonctions proches du fonctionnement, des activités et de l'organisation des services de police ou des services de renseignements </w:t>
          </w:r>
          <w:r w:rsidR="005C166B" w:rsidRPr="00406EBF">
            <w:rPr>
              <w:rFonts w:cstheme="minorHAnsi"/>
              <w:sz w:val="23"/>
              <w:szCs w:val="23"/>
            </w:rPr>
            <w:t xml:space="preserve">et </w:t>
          </w:r>
          <w:r w:rsidRPr="00406EBF">
            <w:rPr>
              <w:rFonts w:cstheme="minorHAnsi"/>
              <w:sz w:val="23"/>
              <w:szCs w:val="23"/>
            </w:rPr>
            <w:t xml:space="preserve">avoir exercé des fonctions à un niveau de responsabilité élevé. Le Comité permanent P est obligatoirement présidé par un magistrat détaché de l’ordre judiciaire. Ses membres jouissent d’un statut identique à celui des conseillers de la Cour des comptes. </w:t>
          </w:r>
        </w:p>
        <w:p w14:paraId="10B3CEC8" w14:textId="77777777" w:rsidR="00654A1D" w:rsidRPr="00406EBF" w:rsidRDefault="00654A1D" w:rsidP="00654A1D">
          <w:pPr>
            <w:pStyle w:val="Paragraphedeliste"/>
            <w:rPr>
              <w:rFonts w:cstheme="minorHAnsi"/>
              <w:sz w:val="23"/>
              <w:szCs w:val="23"/>
            </w:rPr>
          </w:pPr>
        </w:p>
        <w:p w14:paraId="5D108D12" w14:textId="77777777" w:rsidR="00654A1D" w:rsidRPr="00406EBF" w:rsidRDefault="00654A1D"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Service d’enquêtes P remplit des missions de contrôle et des missions judiciaires. Dans l’exercice de ces dernières, il est soumis à la surveillance des autorités judiciaires et non plus à celle du </w:t>
          </w:r>
          <w:r w:rsidR="005B2473" w:rsidRPr="00406EBF">
            <w:rPr>
              <w:rFonts w:cstheme="minorHAnsi"/>
              <w:sz w:val="23"/>
              <w:szCs w:val="23"/>
            </w:rPr>
            <w:t>C</w:t>
          </w:r>
          <w:r w:rsidRPr="00406EBF">
            <w:rPr>
              <w:rFonts w:cstheme="minorHAnsi"/>
              <w:sz w:val="23"/>
              <w:szCs w:val="23"/>
            </w:rPr>
            <w:t>om</w:t>
          </w:r>
          <w:r w:rsidR="005B2473" w:rsidRPr="00406EBF">
            <w:rPr>
              <w:rFonts w:cstheme="minorHAnsi"/>
              <w:sz w:val="23"/>
              <w:szCs w:val="23"/>
            </w:rPr>
            <w:t>ité permanent P. Le Service d’enquêtes P</w:t>
          </w:r>
          <w:r w:rsidRPr="00406EBF">
            <w:rPr>
              <w:rFonts w:cstheme="minorHAnsi"/>
              <w:sz w:val="23"/>
              <w:szCs w:val="23"/>
            </w:rPr>
            <w:t xml:space="preserve"> est dirigé par un directeur général, assisté de deux directeurs adjoints</w:t>
          </w:r>
          <w:r w:rsidR="005B2473" w:rsidRPr="00406EBF">
            <w:rPr>
              <w:rFonts w:cstheme="minorHAnsi"/>
              <w:sz w:val="23"/>
              <w:szCs w:val="23"/>
            </w:rPr>
            <w:t xml:space="preserve">, qui sont nommés – et révoqués – par le Comité permanent P pour un </w:t>
          </w:r>
          <w:r w:rsidR="005C166B" w:rsidRPr="00406EBF">
            <w:rPr>
              <w:rFonts w:cstheme="minorHAnsi"/>
              <w:sz w:val="23"/>
              <w:szCs w:val="23"/>
            </w:rPr>
            <w:t>mandat renouvelable</w:t>
          </w:r>
          <w:r w:rsidR="005B2473" w:rsidRPr="00406EBF">
            <w:rPr>
              <w:rFonts w:cstheme="minorHAnsi"/>
              <w:sz w:val="23"/>
              <w:szCs w:val="23"/>
            </w:rPr>
            <w:t xml:space="preserve"> de cinq ans</w:t>
          </w:r>
          <w:r w:rsidRPr="00406EBF">
            <w:rPr>
              <w:rFonts w:cstheme="minorHAnsi"/>
              <w:sz w:val="23"/>
              <w:szCs w:val="23"/>
            </w:rPr>
            <w:t>.</w:t>
          </w:r>
          <w:r w:rsidR="005B2473" w:rsidRPr="00406EBF">
            <w:rPr>
              <w:rFonts w:cstheme="minorHAnsi"/>
              <w:sz w:val="23"/>
              <w:szCs w:val="23"/>
            </w:rPr>
            <w:t xml:space="preserve"> L</w:t>
          </w:r>
          <w:r w:rsidR="005C166B" w:rsidRPr="00406EBF">
            <w:rPr>
              <w:rFonts w:cstheme="minorHAnsi"/>
              <w:sz w:val="23"/>
              <w:szCs w:val="23"/>
            </w:rPr>
            <w:t xml:space="preserve">’effectif du </w:t>
          </w:r>
          <w:r w:rsidR="005B2473" w:rsidRPr="00406EBF">
            <w:rPr>
              <w:rFonts w:cstheme="minorHAnsi"/>
              <w:sz w:val="23"/>
              <w:szCs w:val="23"/>
            </w:rPr>
            <w:t xml:space="preserve">Service d’enquêtes P </w:t>
          </w:r>
          <w:r w:rsidR="004D0C91" w:rsidRPr="00406EBF">
            <w:rPr>
              <w:rFonts w:cstheme="minorHAnsi"/>
              <w:sz w:val="23"/>
              <w:szCs w:val="23"/>
            </w:rPr>
            <w:t xml:space="preserve">est </w:t>
          </w:r>
          <w:r w:rsidR="005C166B" w:rsidRPr="00406EBF">
            <w:rPr>
              <w:rFonts w:cstheme="minorHAnsi"/>
              <w:sz w:val="23"/>
              <w:szCs w:val="23"/>
            </w:rPr>
            <w:t xml:space="preserve">de 43 personnes sur un cadre théorique </w:t>
          </w:r>
          <w:r w:rsidR="004D0C91" w:rsidRPr="00406EBF">
            <w:rPr>
              <w:rFonts w:cstheme="minorHAnsi"/>
              <w:sz w:val="23"/>
              <w:szCs w:val="23"/>
            </w:rPr>
            <w:t xml:space="preserve">de </w:t>
          </w:r>
          <w:r w:rsidR="005B2473" w:rsidRPr="00406EBF">
            <w:rPr>
              <w:rFonts w:cstheme="minorHAnsi"/>
              <w:sz w:val="23"/>
              <w:szCs w:val="23"/>
            </w:rPr>
            <w:t>52 membres</w:t>
          </w:r>
          <w:r w:rsidR="0095106D" w:rsidRPr="00406EBF">
            <w:rPr>
              <w:rFonts w:cstheme="minorHAnsi"/>
              <w:sz w:val="23"/>
              <w:szCs w:val="23"/>
            </w:rPr>
            <w:t>.</w:t>
          </w:r>
          <w:r w:rsidR="005B2473" w:rsidRPr="00406EBF">
            <w:rPr>
              <w:rFonts w:cstheme="minorHAnsi"/>
              <w:sz w:val="23"/>
              <w:szCs w:val="23"/>
            </w:rPr>
            <w:t xml:space="preserve"> </w:t>
          </w:r>
        </w:p>
        <w:p w14:paraId="5F00D124" w14:textId="77777777" w:rsidR="005B2473" w:rsidRPr="00406EBF" w:rsidRDefault="005B2473" w:rsidP="005B2473">
          <w:pPr>
            <w:pStyle w:val="Paragraphedeliste"/>
            <w:rPr>
              <w:rFonts w:cstheme="minorHAnsi"/>
              <w:sz w:val="23"/>
              <w:szCs w:val="23"/>
            </w:rPr>
          </w:pPr>
        </w:p>
        <w:p w14:paraId="3D64379B" w14:textId="77777777" w:rsidR="0095106D" w:rsidRPr="00406EBF" w:rsidRDefault="0095106D"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service administratif est dirigé par un greffier, nommé par la Chambre des représentants, qui peut le révoquer. </w:t>
          </w:r>
          <w:r w:rsidR="005C166B" w:rsidRPr="00406EBF">
            <w:rPr>
              <w:rFonts w:cstheme="minorHAnsi"/>
              <w:sz w:val="23"/>
              <w:szCs w:val="23"/>
            </w:rPr>
            <w:t>Il compte 31 membres sur un cadre théorique de 36 et</w:t>
          </w:r>
          <w:r w:rsidRPr="00406EBF">
            <w:rPr>
              <w:rFonts w:cstheme="minorHAnsi"/>
              <w:sz w:val="23"/>
              <w:szCs w:val="23"/>
            </w:rPr>
            <w:t xml:space="preserve"> est composé de trois sections : la section « appui », la section « gestion des données » et la section « plaintes ».</w:t>
          </w:r>
          <w:r w:rsidR="004D0C91" w:rsidRPr="00406EBF">
            <w:rPr>
              <w:rFonts w:cstheme="minorHAnsi"/>
              <w:sz w:val="23"/>
              <w:szCs w:val="23"/>
            </w:rPr>
            <w:t xml:space="preserve"> </w:t>
          </w:r>
        </w:p>
        <w:p w14:paraId="48B613DE" w14:textId="77777777" w:rsidR="005C0253" w:rsidRPr="00406EBF" w:rsidRDefault="005C0253" w:rsidP="005C0253">
          <w:pPr>
            <w:pStyle w:val="Paragraphedeliste"/>
            <w:rPr>
              <w:rFonts w:cstheme="minorHAnsi"/>
              <w:sz w:val="23"/>
              <w:szCs w:val="23"/>
            </w:rPr>
          </w:pPr>
        </w:p>
        <w:p w14:paraId="0C250E55" w14:textId="77777777" w:rsidR="005C0253" w:rsidRPr="00406EBF" w:rsidRDefault="005C0253"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membres du Comité P et de ses services subordonnés sont soumis au secret professionnel, à des règles d’incompatibilité et </w:t>
          </w:r>
          <w:r w:rsidR="00727C94" w:rsidRPr="00406EBF">
            <w:rPr>
              <w:rFonts w:cstheme="minorHAnsi"/>
              <w:sz w:val="23"/>
              <w:szCs w:val="23"/>
            </w:rPr>
            <w:t>de récusation en cas de conflits d’intérêts.</w:t>
          </w:r>
        </w:p>
        <w:p w14:paraId="04A38ED3" w14:textId="77777777" w:rsidR="00D8560D" w:rsidRPr="00406EBF" w:rsidRDefault="00D8560D" w:rsidP="00D8560D">
          <w:pPr>
            <w:pStyle w:val="Paragraphedeliste"/>
            <w:rPr>
              <w:rFonts w:cstheme="minorHAnsi"/>
              <w:sz w:val="23"/>
              <w:szCs w:val="23"/>
            </w:rPr>
          </w:pPr>
        </w:p>
        <w:p w14:paraId="11AAF41F" w14:textId="77777777" w:rsidR="00D8560D" w:rsidRPr="00406EBF" w:rsidRDefault="00D8560D"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Comité permanent P </w:t>
          </w:r>
          <w:r w:rsidR="001C5280" w:rsidRPr="00406EBF">
            <w:rPr>
              <w:rFonts w:cstheme="minorHAnsi"/>
              <w:sz w:val="23"/>
              <w:szCs w:val="23"/>
            </w:rPr>
            <w:t xml:space="preserve">jouit d’une pleine indépendance opérationnelle et </w:t>
          </w:r>
          <w:r w:rsidRPr="00406EBF">
            <w:rPr>
              <w:rFonts w:cstheme="minorHAnsi"/>
              <w:sz w:val="23"/>
              <w:szCs w:val="23"/>
            </w:rPr>
            <w:t xml:space="preserve">peut à tout moment décider d’ouvrir une enquête. Il agit : </w:t>
          </w:r>
        </w:p>
        <w:p w14:paraId="6663F6F7" w14:textId="77777777" w:rsidR="00D8560D" w:rsidRPr="00406EBF" w:rsidRDefault="00D8560D" w:rsidP="00D8560D">
          <w:pPr>
            <w:pStyle w:val="Paragraphedeliste"/>
            <w:rPr>
              <w:rFonts w:cstheme="minorHAnsi"/>
              <w:sz w:val="23"/>
              <w:szCs w:val="23"/>
            </w:rPr>
          </w:pPr>
        </w:p>
        <w:p w14:paraId="24065A4B"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sidRPr="00406EBF">
            <w:rPr>
              <w:rFonts w:cstheme="minorHAnsi"/>
              <w:sz w:val="23"/>
              <w:szCs w:val="23"/>
            </w:rPr>
            <w:t>D’initiative ;</w:t>
          </w:r>
        </w:p>
        <w:p w14:paraId="22C2ACB0"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sidRPr="00406EBF">
            <w:rPr>
              <w:rFonts w:cstheme="minorHAnsi"/>
              <w:sz w:val="23"/>
              <w:szCs w:val="23"/>
            </w:rPr>
            <w:t>A la demande du Parlement ;</w:t>
          </w:r>
        </w:p>
        <w:p w14:paraId="2167B3AE"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sidRPr="00406EBF">
            <w:rPr>
              <w:rFonts w:cstheme="minorHAnsi"/>
              <w:sz w:val="23"/>
              <w:szCs w:val="23"/>
            </w:rPr>
            <w:t>A la demande du ministre de l’Intérieur (en ce qui concerne l’exercice, par les services de police, des missions de police administrative) ;</w:t>
          </w:r>
        </w:p>
        <w:p w14:paraId="2264E897"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sidRPr="00406EBF">
            <w:rPr>
              <w:rFonts w:cstheme="minorHAnsi"/>
              <w:sz w:val="23"/>
              <w:szCs w:val="23"/>
            </w:rPr>
            <w:t>A la demande du ministre de la Justice (en ce qui concerne l’exercice, par les services de police, des missions de police judiciaire) ;</w:t>
          </w:r>
        </w:p>
        <w:p w14:paraId="143B9C2F"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sidRPr="00406EBF">
            <w:rPr>
              <w:rFonts w:cstheme="minorHAnsi"/>
              <w:sz w:val="23"/>
              <w:szCs w:val="23"/>
            </w:rPr>
            <w:t>A la demande de toute autorité compétente ;</w:t>
          </w:r>
        </w:p>
        <w:p w14:paraId="4DE37ACF"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sidRPr="00406EBF">
            <w:rPr>
              <w:rFonts w:cstheme="minorHAnsi"/>
              <w:sz w:val="23"/>
              <w:szCs w:val="23"/>
            </w:rPr>
            <w:t>Sur plainte ou dénonciation de quiconque.</w:t>
          </w:r>
        </w:p>
        <w:p w14:paraId="2AEB38D5" w14:textId="77777777" w:rsidR="00D8560D" w:rsidRPr="00406EBF" w:rsidRDefault="00D8560D" w:rsidP="00D8560D">
          <w:pPr>
            <w:tabs>
              <w:tab w:val="left" w:pos="709"/>
            </w:tabs>
            <w:spacing w:line="240" w:lineRule="auto"/>
            <w:ind w:left="1080"/>
            <w:jc w:val="both"/>
            <w:rPr>
              <w:rFonts w:cstheme="minorHAnsi"/>
              <w:sz w:val="23"/>
              <w:szCs w:val="23"/>
            </w:rPr>
          </w:pPr>
        </w:p>
        <w:p w14:paraId="1CF010DB" w14:textId="77777777" w:rsidR="00D8560D" w:rsidRPr="00406EBF" w:rsidRDefault="00D8560D" w:rsidP="00D8560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La finalité des enquêtes de contrôle du comité P est quadruple : il s’agit (1) d’examiner comment les services de police exécutent leurs tâches, (2) de pointer les éventuels manquements ou dysfonctionnements liés au système, aux structures ou aux méthodes ; (3) de formuler des conclusions accompagnées de propositions et de recommandations au profit des services de police et des autorités et enfin, (4) d’assurer le monitoring de la mise en œuvre des recommandations formulées.</w:t>
          </w:r>
        </w:p>
        <w:p w14:paraId="40C3745B" w14:textId="77777777" w:rsidR="00D8560D" w:rsidRPr="00406EBF" w:rsidRDefault="00D8560D" w:rsidP="00D8560D">
          <w:pPr>
            <w:pStyle w:val="Paragraphedeliste"/>
            <w:rPr>
              <w:rFonts w:cstheme="minorHAnsi"/>
              <w:sz w:val="23"/>
              <w:szCs w:val="23"/>
            </w:rPr>
          </w:pPr>
        </w:p>
        <w:p w14:paraId="255395E3" w14:textId="77777777" w:rsidR="00D8560D" w:rsidRPr="00406EBF" w:rsidRDefault="001C5280" w:rsidP="00D8560D">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Les rapports </w:t>
          </w:r>
          <w:r w:rsidR="00D8560D" w:rsidRPr="00406EBF">
            <w:rPr>
              <w:rFonts w:cstheme="minorHAnsi"/>
              <w:sz w:val="23"/>
              <w:szCs w:val="23"/>
            </w:rPr>
            <w:t xml:space="preserve">d’enquêtes </w:t>
          </w:r>
          <w:r w:rsidRPr="00406EBF">
            <w:rPr>
              <w:rFonts w:cstheme="minorHAnsi"/>
              <w:sz w:val="23"/>
              <w:szCs w:val="23"/>
            </w:rPr>
            <w:t>du C</w:t>
          </w:r>
          <w:r w:rsidR="00D8560D" w:rsidRPr="00406EBF">
            <w:rPr>
              <w:rFonts w:cstheme="minorHAnsi"/>
              <w:sz w:val="23"/>
              <w:szCs w:val="23"/>
            </w:rPr>
            <w:t xml:space="preserve">omité permanent P </w:t>
          </w:r>
          <w:r w:rsidRPr="00406EBF">
            <w:rPr>
              <w:rFonts w:cstheme="minorHAnsi"/>
              <w:sz w:val="23"/>
              <w:szCs w:val="23"/>
            </w:rPr>
            <w:t>sont</w:t>
          </w:r>
          <w:r w:rsidR="00D8560D" w:rsidRPr="00406EBF">
            <w:rPr>
              <w:rFonts w:cstheme="minorHAnsi"/>
              <w:sz w:val="23"/>
              <w:szCs w:val="23"/>
            </w:rPr>
            <w:t xml:space="preserve"> communiqu</w:t>
          </w:r>
          <w:r w:rsidRPr="00406EBF">
            <w:rPr>
              <w:rFonts w:cstheme="minorHAnsi"/>
              <w:sz w:val="23"/>
              <w:szCs w:val="23"/>
            </w:rPr>
            <w:t>és</w:t>
          </w:r>
          <w:r w:rsidR="00D8560D" w:rsidRPr="00406EBF">
            <w:rPr>
              <w:rFonts w:cstheme="minorHAnsi"/>
              <w:sz w:val="23"/>
              <w:szCs w:val="23"/>
            </w:rPr>
            <w:t xml:space="preserve"> au parlement et aux autorités compétentes</w:t>
          </w:r>
          <w:r w:rsidRPr="00406EBF">
            <w:rPr>
              <w:rFonts w:cstheme="minorHAnsi"/>
              <w:sz w:val="23"/>
              <w:szCs w:val="23"/>
            </w:rPr>
            <w:t xml:space="preserve"> et sont en principe rendus </w:t>
          </w:r>
          <w:r w:rsidR="00D8560D" w:rsidRPr="00406EBF">
            <w:rPr>
              <w:rFonts w:cstheme="minorHAnsi"/>
              <w:sz w:val="23"/>
              <w:szCs w:val="23"/>
            </w:rPr>
            <w:t>publics. Dans une seconde phase, le Comité permanent P est amené à évaluer le suivi donné aux conclusions et recommandations formulées et à communiquer à nouveau son rapport de suivi au Parlement et aux autorités compétentes. A nouveau, le rapport est en principe rendu public.</w:t>
          </w:r>
        </w:p>
        <w:p w14:paraId="12A9DC3E" w14:textId="77777777" w:rsidR="0095106D" w:rsidRPr="00406EBF" w:rsidRDefault="0095106D" w:rsidP="0095106D">
          <w:pPr>
            <w:pStyle w:val="Paragraphedeliste"/>
            <w:rPr>
              <w:rFonts w:cstheme="minorHAnsi"/>
              <w:sz w:val="23"/>
              <w:szCs w:val="23"/>
            </w:rPr>
          </w:pPr>
        </w:p>
        <w:p w14:paraId="1972E189" w14:textId="77777777" w:rsidR="00D713AC" w:rsidRPr="00406EBF" w:rsidRDefault="006E2644"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Dans le cadre de l’exécution d’enquêtes de contrôle et d’enquêtes subséquentes à une plainte ou une dénonciation, le Comité P dispose de différents moyens d’investigation : audition de toute personne, y compris sur des faits couverts par le secret professionnel (sauf pour les faits </w:t>
          </w:r>
          <w:r w:rsidRPr="00406EBF">
            <w:rPr>
              <w:rFonts w:cstheme="minorHAnsi"/>
              <w:sz w:val="23"/>
              <w:szCs w:val="23"/>
            </w:rPr>
            <w:lastRenderedPageBreak/>
            <w:t>qui concernent une information ou une instruction judiciaire en cours) ; réquisition de la collaboration d’experts ou d’interprètes ; réquisition de l’assistance de la force publique ; recherche en tous lieux o</w:t>
          </w:r>
          <w:r w:rsidR="00FE3DF6">
            <w:rPr>
              <w:rFonts w:cstheme="minorHAnsi"/>
              <w:sz w:val="23"/>
              <w:szCs w:val="23"/>
            </w:rPr>
            <w:t>ù</w:t>
          </w:r>
          <w:r w:rsidRPr="00406EBF">
            <w:rPr>
              <w:rFonts w:cstheme="minorHAnsi"/>
              <w:sz w:val="23"/>
              <w:szCs w:val="23"/>
            </w:rPr>
            <w:t xml:space="preserve"> des policiers exercent leurs fonctions ; saisie de tous les objets et documents utiles à l’enquête ; imposition de délais de réponse contraignants </w:t>
          </w:r>
          <w:r w:rsidR="00D713AC" w:rsidRPr="00406EBF">
            <w:rPr>
              <w:rFonts w:cstheme="minorHAnsi"/>
              <w:sz w:val="23"/>
              <w:szCs w:val="23"/>
            </w:rPr>
            <w:t>aux services de police ou à leurs membres ; obligation légale faite à plusieurs autorités de communiquer diverses informations au Comité P.</w:t>
          </w:r>
        </w:p>
        <w:p w14:paraId="67430249" w14:textId="77777777" w:rsidR="00727C94" w:rsidRPr="00406EBF" w:rsidRDefault="00727C94" w:rsidP="00727C94">
          <w:pPr>
            <w:pStyle w:val="Paragraphedeliste"/>
            <w:rPr>
              <w:rFonts w:cstheme="minorHAnsi"/>
              <w:sz w:val="23"/>
              <w:szCs w:val="23"/>
            </w:rPr>
          </w:pPr>
        </w:p>
        <w:p w14:paraId="10BB893B" w14:textId="77777777" w:rsidR="00727C94" w:rsidRPr="00406EBF" w:rsidRDefault="003F3E9C"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En revanche</w:t>
          </w:r>
          <w:r w:rsidR="00727C94" w:rsidRPr="00406EBF">
            <w:rPr>
              <w:rFonts w:cstheme="minorHAnsi"/>
              <w:sz w:val="23"/>
              <w:szCs w:val="23"/>
            </w:rPr>
            <w:t xml:space="preserve">, lorsqu’ils remplissent une mission de police judiciaire, les membres du service d’enquêtes P se conforment au Code d’instruction criminelle et </w:t>
          </w:r>
          <w:r w:rsidR="001C5280" w:rsidRPr="00406EBF">
            <w:rPr>
              <w:rFonts w:cstheme="minorHAnsi"/>
              <w:sz w:val="23"/>
              <w:szCs w:val="23"/>
            </w:rPr>
            <w:t>aux</w:t>
          </w:r>
          <w:r w:rsidR="00727C94" w:rsidRPr="00406EBF">
            <w:rPr>
              <w:rFonts w:cstheme="minorHAnsi"/>
              <w:sz w:val="23"/>
              <w:szCs w:val="23"/>
            </w:rPr>
            <w:t xml:space="preserve"> lois particulières relatives aux pouvoirs des officiers de police judiciaire, dont ils ont la qualité. </w:t>
          </w:r>
          <w:r w:rsidR="00F42FD4" w:rsidRPr="00406EBF">
            <w:rPr>
              <w:rFonts w:cstheme="minorHAnsi"/>
              <w:sz w:val="23"/>
              <w:szCs w:val="23"/>
            </w:rPr>
            <w:t xml:space="preserve">Ainsi, d’initiative ou sur réquisition du procureur du Roi ou du juge d'instruction compétent, le Service d’enquêtes P effectue, en concurrence avec les autres officiers et agents de police judiciaire et même avec un droit de </w:t>
          </w:r>
          <w:r w:rsidR="001C5280" w:rsidRPr="00406EBF">
            <w:rPr>
              <w:rFonts w:cstheme="minorHAnsi"/>
              <w:sz w:val="23"/>
              <w:szCs w:val="23"/>
            </w:rPr>
            <w:t>préemption</w:t>
          </w:r>
          <w:r w:rsidR="00F42FD4" w:rsidRPr="00406EBF">
            <w:rPr>
              <w:rFonts w:cstheme="minorHAnsi"/>
              <w:sz w:val="23"/>
              <w:szCs w:val="23"/>
            </w:rPr>
            <w:t xml:space="preserve"> sur ceux-ci, les enquêtes sur les crimes et délits </w:t>
          </w:r>
          <w:r w:rsidR="001C5280" w:rsidRPr="00406EBF">
            <w:rPr>
              <w:rFonts w:cstheme="minorHAnsi"/>
              <w:sz w:val="23"/>
              <w:szCs w:val="23"/>
            </w:rPr>
            <w:t>commis imputés à</w:t>
          </w:r>
          <w:r w:rsidR="00F42FD4" w:rsidRPr="00406EBF">
            <w:rPr>
              <w:rFonts w:cstheme="minorHAnsi"/>
              <w:sz w:val="23"/>
              <w:szCs w:val="23"/>
            </w:rPr>
            <w:t xml:space="preserve"> des membres des services de police.</w:t>
          </w:r>
        </w:p>
        <w:p w14:paraId="058C66B1" w14:textId="77777777" w:rsidR="00D713AC" w:rsidRPr="00406EBF" w:rsidRDefault="00D713AC" w:rsidP="00D713AC">
          <w:pPr>
            <w:pStyle w:val="Paragraphedeliste"/>
            <w:rPr>
              <w:rFonts w:cstheme="minorHAnsi"/>
              <w:sz w:val="23"/>
              <w:szCs w:val="23"/>
            </w:rPr>
          </w:pPr>
        </w:p>
        <w:p w14:paraId="764C4800" w14:textId="77777777" w:rsidR="005B2473" w:rsidRPr="00406EBF" w:rsidRDefault="00D713AC"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 Comité P</w:t>
          </w:r>
          <w:r w:rsidR="0095106D" w:rsidRPr="00406EBF">
            <w:rPr>
              <w:rFonts w:cstheme="minorHAnsi"/>
              <w:sz w:val="23"/>
              <w:szCs w:val="23"/>
            </w:rPr>
            <w:t xml:space="preserve"> </w:t>
          </w:r>
          <w:r w:rsidRPr="00406EBF">
            <w:rPr>
              <w:rFonts w:cstheme="minorHAnsi"/>
              <w:sz w:val="23"/>
              <w:szCs w:val="23"/>
            </w:rPr>
            <w:t xml:space="preserve">ne dispose pas </w:t>
          </w:r>
          <w:r w:rsidR="001C5280" w:rsidRPr="00406EBF">
            <w:rPr>
              <w:rFonts w:cstheme="minorHAnsi"/>
              <w:sz w:val="23"/>
              <w:szCs w:val="23"/>
            </w:rPr>
            <w:t>de compétence</w:t>
          </w:r>
          <w:r w:rsidRPr="00406EBF">
            <w:rPr>
              <w:rFonts w:cstheme="minorHAnsi"/>
              <w:sz w:val="23"/>
              <w:szCs w:val="23"/>
            </w:rPr>
            <w:t xml:space="preserve"> disciplinaire à l’égard des membres de la police intégrée. Le président du Comité permanent P dispose néanmoins d’un droit d’injonction positif envers les autorités disciplinaires. Ainsi, lorsqu'une autorité disciplinaire est informée par le président du Comité permanent P de faits qui peuvent constituer une </w:t>
          </w:r>
          <w:r w:rsidR="001C5280" w:rsidRPr="00406EBF">
            <w:rPr>
              <w:rFonts w:cstheme="minorHAnsi"/>
              <w:sz w:val="23"/>
              <w:szCs w:val="23"/>
            </w:rPr>
            <w:t>infraction</w:t>
          </w:r>
          <w:r w:rsidRPr="00406EBF">
            <w:rPr>
              <w:rFonts w:cstheme="minorHAnsi"/>
              <w:sz w:val="23"/>
              <w:szCs w:val="23"/>
            </w:rPr>
            <w:t xml:space="preserve"> disciplinaire, elle doit examiner si ces faits sont susceptibles d'entraîner une procédure disciplinaire et informer le président du Comité permanent P des suites données à leur information. </w:t>
          </w:r>
          <w:r w:rsidR="001C5280" w:rsidRPr="00406EBF">
            <w:rPr>
              <w:rFonts w:cstheme="minorHAnsi"/>
              <w:sz w:val="23"/>
              <w:szCs w:val="23"/>
            </w:rPr>
            <w:t xml:space="preserve">Si l’autorité disciplinaire ordinaire décide de ne pas poursuivre, </w:t>
          </w:r>
          <w:r w:rsidRPr="00406EBF">
            <w:rPr>
              <w:rFonts w:cstheme="minorHAnsi"/>
              <w:sz w:val="23"/>
              <w:szCs w:val="23"/>
            </w:rPr>
            <w:t xml:space="preserve">le président du Comité permanent P </w:t>
          </w:r>
          <w:r w:rsidR="001C5280" w:rsidRPr="00406EBF">
            <w:rPr>
              <w:rFonts w:cstheme="minorHAnsi"/>
              <w:sz w:val="23"/>
              <w:szCs w:val="23"/>
            </w:rPr>
            <w:t xml:space="preserve">peut </w:t>
          </w:r>
          <w:r w:rsidRPr="00406EBF">
            <w:rPr>
              <w:rFonts w:cstheme="minorHAnsi"/>
              <w:sz w:val="23"/>
              <w:szCs w:val="23"/>
            </w:rPr>
            <w:t>porter l'affaire devant l'autorité disciplinaire supérieure. Par ailleurs, lorsqu’un membre du Service d’enquêtes P constate, à l’occasion d’une enquête, des faits qui pourraient constituer une faute disciplinaire, le directeur général du Service d’enquêtes P en donne immédiatement connaissance à l’autorité disciplinaire compétente.</w:t>
          </w:r>
        </w:p>
        <w:p w14:paraId="67730E93" w14:textId="77777777" w:rsidR="00D713AC" w:rsidRPr="00406EBF" w:rsidRDefault="00D713AC" w:rsidP="00D713AC">
          <w:pPr>
            <w:tabs>
              <w:tab w:val="left" w:pos="709"/>
            </w:tabs>
            <w:spacing w:line="240" w:lineRule="auto"/>
            <w:jc w:val="both"/>
            <w:rPr>
              <w:rFonts w:cstheme="minorHAnsi"/>
              <w:sz w:val="23"/>
              <w:szCs w:val="23"/>
            </w:rPr>
          </w:pPr>
        </w:p>
        <w:p w14:paraId="440310DE" w14:textId="0A9F3274" w:rsidR="006F09A0" w:rsidRPr="00406EBF" w:rsidRDefault="009B5815" w:rsidP="00573F4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L’AIG et le Comité P ont conclu le 16 juin 2016 un protocole d’accord réglant les échanges d’informations et la collaboration entre les deux institutions. Celui-ci prévoit notamment une répartition des tâches, une concertation et un échange d’informations pour </w:t>
          </w:r>
          <w:r w:rsidR="00537210" w:rsidRPr="00406EBF">
            <w:rPr>
              <w:rFonts w:cstheme="minorHAnsi"/>
              <w:sz w:val="23"/>
              <w:szCs w:val="23"/>
            </w:rPr>
            <w:t xml:space="preserve">les missions qui comportent des </w:t>
          </w:r>
          <w:r w:rsidRPr="00406EBF">
            <w:rPr>
              <w:rFonts w:cstheme="minorHAnsi"/>
              <w:sz w:val="23"/>
              <w:szCs w:val="23"/>
            </w:rPr>
            <w:t xml:space="preserve">risques de double-emploi et de chevauchement. </w:t>
          </w:r>
          <w:r w:rsidR="00D06DC2" w:rsidRPr="00406EBF">
            <w:rPr>
              <w:rFonts w:cstheme="minorHAnsi"/>
              <w:sz w:val="23"/>
              <w:szCs w:val="23"/>
            </w:rPr>
            <w:t>Une directive ministérielle du 22 septembre 2011 organisant la répartition des tâches en matière de missions de police judiciaire pour des infractions impliquant des fonctionnaires de police prévoit quant à elle les principes d’attribution des enquêtes concernant ces infractions. Cette directive fait traiter prioritairement par le Comité P les infractions de corruption impliquant des policiers, lorsque celles-ci sont commises en association de malfaiteurs ou en organisation criminelle. Malgré ce</w:t>
          </w:r>
          <w:r w:rsidR="003F3E9C" w:rsidRPr="00406EBF">
            <w:rPr>
              <w:rFonts w:cstheme="minorHAnsi"/>
              <w:sz w:val="23"/>
              <w:szCs w:val="23"/>
            </w:rPr>
            <w:t>s documents</w:t>
          </w:r>
          <w:r w:rsidR="00D06DC2" w:rsidRPr="00406EBF">
            <w:rPr>
              <w:rFonts w:cstheme="minorHAnsi"/>
              <w:sz w:val="23"/>
              <w:szCs w:val="23"/>
            </w:rPr>
            <w:t>, plusieurs interlocuteurs de l’EEG ont relevé que la répartition des rôles entre l’AIG et le Comité P n’était pas toujours très claire</w:t>
          </w:r>
          <w:r w:rsidR="003F3E9C" w:rsidRPr="00406EBF">
            <w:rPr>
              <w:rFonts w:cstheme="minorHAnsi"/>
              <w:sz w:val="23"/>
              <w:szCs w:val="23"/>
            </w:rPr>
            <w:t>, notamment pour les policiers souhaitant rapporter une violation qui ne sauraient pas à quel organe s’adresser</w:t>
          </w:r>
          <w:r w:rsidR="00D06DC2" w:rsidRPr="00406EBF">
            <w:rPr>
              <w:rFonts w:cstheme="minorHAnsi"/>
              <w:sz w:val="23"/>
              <w:szCs w:val="23"/>
            </w:rPr>
            <w:t>.</w:t>
          </w:r>
          <w:r w:rsidR="003F3E9C" w:rsidRPr="00406EBF">
            <w:rPr>
              <w:rFonts w:cstheme="minorHAnsi"/>
              <w:sz w:val="23"/>
              <w:szCs w:val="23"/>
            </w:rPr>
            <w:t xml:space="preserve"> </w:t>
          </w:r>
        </w:p>
        <w:p w14:paraId="44AAEAF7" w14:textId="77777777" w:rsidR="006F09A0" w:rsidRPr="00406EBF" w:rsidRDefault="006F09A0" w:rsidP="006F09A0">
          <w:pPr>
            <w:pStyle w:val="Paragraphedeliste"/>
            <w:rPr>
              <w:rFonts w:cstheme="minorHAnsi"/>
              <w:sz w:val="23"/>
              <w:szCs w:val="23"/>
            </w:rPr>
          </w:pPr>
        </w:p>
        <w:p w14:paraId="6C04E928"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76" w:name="_Toc2777436"/>
          <w:bookmarkStart w:id="177" w:name="_Toc21339609"/>
          <w:r w:rsidRPr="00406EBF">
            <w:rPr>
              <w:rFonts w:asciiTheme="minorHAnsi" w:hAnsiTheme="minorHAnsi" w:cstheme="minorHAnsi"/>
              <w:b w:val="0"/>
              <w:i/>
              <w:color w:val="auto"/>
              <w:sz w:val="23"/>
              <w:szCs w:val="23"/>
            </w:rPr>
            <w:t>Surveillance exercée par le public et la société civile</w:t>
          </w:r>
          <w:bookmarkEnd w:id="176"/>
          <w:bookmarkEnd w:id="177"/>
        </w:p>
        <w:p w14:paraId="1371A529" w14:textId="77777777" w:rsidR="007C316A" w:rsidRPr="00406EBF" w:rsidRDefault="007C316A" w:rsidP="001878CC">
          <w:pPr>
            <w:spacing w:line="240" w:lineRule="auto"/>
            <w:jc w:val="both"/>
            <w:rPr>
              <w:rFonts w:cstheme="minorHAnsi"/>
              <w:sz w:val="23"/>
              <w:szCs w:val="23"/>
            </w:rPr>
          </w:pPr>
        </w:p>
        <w:p w14:paraId="09D9D2AA" w14:textId="77777777" w:rsidR="007C316A" w:rsidRPr="00406EBF" w:rsidRDefault="009B5815" w:rsidP="009B5815">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w:t>
          </w:r>
          <w:r w:rsidR="00D77BCC" w:rsidRPr="00406EBF">
            <w:rPr>
              <w:rFonts w:cstheme="minorHAnsi"/>
              <w:sz w:val="23"/>
              <w:szCs w:val="23"/>
            </w:rPr>
            <w:t xml:space="preserve">e public et la </w:t>
          </w:r>
          <w:r w:rsidRPr="00406EBF">
            <w:rPr>
              <w:rFonts w:cstheme="minorHAnsi"/>
              <w:sz w:val="23"/>
              <w:szCs w:val="23"/>
            </w:rPr>
            <w:t>société civile</w:t>
          </w:r>
          <w:r w:rsidR="00D77BCC" w:rsidRPr="00406EBF">
            <w:rPr>
              <w:rFonts w:cstheme="minorHAnsi"/>
              <w:sz w:val="23"/>
              <w:szCs w:val="23"/>
            </w:rPr>
            <w:t xml:space="preserve"> souhaitant déposer une plainte ou signaler des faits impliquant un policier peuvent s’adresser au </w:t>
          </w:r>
          <w:r w:rsidRPr="00406EBF">
            <w:rPr>
              <w:rFonts w:cstheme="minorHAnsi"/>
              <w:sz w:val="23"/>
              <w:szCs w:val="23"/>
            </w:rPr>
            <w:t xml:space="preserve">Comité P, </w:t>
          </w:r>
          <w:r w:rsidR="00D77BCC" w:rsidRPr="00406EBF">
            <w:rPr>
              <w:rFonts w:cstheme="minorHAnsi"/>
              <w:sz w:val="23"/>
              <w:szCs w:val="23"/>
            </w:rPr>
            <w:t xml:space="preserve">à </w:t>
          </w:r>
          <w:r w:rsidRPr="00406EBF">
            <w:rPr>
              <w:rFonts w:cstheme="minorHAnsi"/>
              <w:sz w:val="23"/>
              <w:szCs w:val="23"/>
            </w:rPr>
            <w:t xml:space="preserve">l’AIG, </w:t>
          </w:r>
          <w:r w:rsidR="00D77BCC" w:rsidRPr="00406EBF">
            <w:rPr>
              <w:rFonts w:cstheme="minorHAnsi"/>
              <w:sz w:val="23"/>
              <w:szCs w:val="23"/>
            </w:rPr>
            <w:t xml:space="preserve">au </w:t>
          </w:r>
          <w:r w:rsidRPr="00406EBF">
            <w:rPr>
              <w:rFonts w:cstheme="minorHAnsi"/>
              <w:sz w:val="23"/>
              <w:szCs w:val="23"/>
            </w:rPr>
            <w:t xml:space="preserve">Procureur du Roi, </w:t>
          </w:r>
          <w:r w:rsidR="00D77BCC" w:rsidRPr="00406EBF">
            <w:rPr>
              <w:rFonts w:cstheme="minorHAnsi"/>
              <w:sz w:val="23"/>
              <w:szCs w:val="23"/>
            </w:rPr>
            <w:t>aux</w:t>
          </w:r>
          <w:r w:rsidRPr="00406EBF">
            <w:rPr>
              <w:rFonts w:cstheme="minorHAnsi"/>
              <w:sz w:val="23"/>
              <w:szCs w:val="23"/>
            </w:rPr>
            <w:t xml:space="preserve"> juges d’instruction ou </w:t>
          </w:r>
          <w:r w:rsidR="00D77BCC" w:rsidRPr="00406EBF">
            <w:rPr>
              <w:rFonts w:cstheme="minorHAnsi"/>
              <w:sz w:val="23"/>
              <w:szCs w:val="23"/>
            </w:rPr>
            <w:t xml:space="preserve">à </w:t>
          </w:r>
          <w:r w:rsidRPr="00406EBF">
            <w:rPr>
              <w:rFonts w:cstheme="minorHAnsi"/>
              <w:sz w:val="23"/>
              <w:szCs w:val="23"/>
            </w:rPr>
            <w:t>la hiérarchie d</w:t>
          </w:r>
          <w:r w:rsidR="00D77BCC" w:rsidRPr="00406EBF">
            <w:rPr>
              <w:rFonts w:cstheme="minorHAnsi"/>
              <w:sz w:val="23"/>
              <w:szCs w:val="23"/>
            </w:rPr>
            <w:t>u policier</w:t>
          </w:r>
          <w:r w:rsidRPr="00406EBF">
            <w:rPr>
              <w:rFonts w:cstheme="minorHAnsi"/>
              <w:sz w:val="23"/>
              <w:szCs w:val="23"/>
            </w:rPr>
            <w:t xml:space="preserve">.  </w:t>
          </w:r>
        </w:p>
        <w:p w14:paraId="04738327" w14:textId="77777777" w:rsidR="007C316A" w:rsidRPr="00406EBF" w:rsidRDefault="007C316A" w:rsidP="001878CC">
          <w:pPr>
            <w:spacing w:line="240" w:lineRule="auto"/>
            <w:jc w:val="both"/>
            <w:rPr>
              <w:rFonts w:cstheme="minorHAnsi"/>
              <w:sz w:val="23"/>
              <w:szCs w:val="23"/>
            </w:rPr>
          </w:pPr>
        </w:p>
        <w:p w14:paraId="5E7B15E8" w14:textId="4EE63608" w:rsidR="00133B4E" w:rsidRPr="00406EBF" w:rsidRDefault="00AB33D7" w:rsidP="00436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L’AIG et le Comité P en particulier peuvent recevoir les plaintes par plusieurs canaux (lettre, courrier, téléphone). Un formulaire de plainte à télécharger et à envoyer par mail ou courrier postal est notamment disponible sur le site de l’AIG. Les plaintes sont ensuite </w:t>
          </w:r>
          <w:r w:rsidR="00204CC8" w:rsidRPr="00406EBF">
            <w:rPr>
              <w:rFonts w:cstheme="minorHAnsi"/>
              <w:sz w:val="23"/>
              <w:szCs w:val="23"/>
            </w:rPr>
            <w:t>orientées vers</w:t>
          </w:r>
          <w:r w:rsidR="00FB4450" w:rsidRPr="00406EBF">
            <w:rPr>
              <w:rFonts w:cstheme="minorHAnsi"/>
              <w:sz w:val="23"/>
              <w:szCs w:val="23"/>
            </w:rPr>
            <w:t xml:space="preserve"> l’instance la mieux à même de les traiter, à savoir les autorités judiciaires, le service d’enquêtes P ou</w:t>
          </w:r>
          <w:r w:rsidRPr="00406EBF">
            <w:rPr>
              <w:rFonts w:cstheme="minorHAnsi"/>
              <w:sz w:val="23"/>
              <w:szCs w:val="23"/>
            </w:rPr>
            <w:t xml:space="preserve"> la ligne hiérarchique compétente. Il n’y a pas d’exigences de forme ni de frais pour les plaintes </w:t>
          </w:r>
          <w:r w:rsidRPr="00406EBF">
            <w:rPr>
              <w:rFonts w:cstheme="minorHAnsi"/>
              <w:sz w:val="23"/>
              <w:szCs w:val="23"/>
            </w:rPr>
            <w:lastRenderedPageBreak/>
            <w:t>et les plaintes anonymes sont parfois acceptées.</w:t>
          </w:r>
          <w:r w:rsidR="0032094E">
            <w:rPr>
              <w:rFonts w:cstheme="minorHAnsi"/>
              <w:sz w:val="23"/>
              <w:szCs w:val="23"/>
            </w:rPr>
            <w:t xml:space="preserve"> Les plaintes sont ensuite orientées vers l’instance la mieux à même de les traiter, à savoir les autorités judiciaires, le service d’enquêtes P, l’AIG ou la ligne hiérarchique compétente.</w:t>
          </w:r>
          <w:r w:rsidR="00D77BCC" w:rsidRPr="00406EBF">
            <w:rPr>
              <w:rFonts w:cstheme="minorHAnsi"/>
              <w:sz w:val="23"/>
              <w:szCs w:val="23"/>
            </w:rPr>
            <w:t xml:space="preserve"> </w:t>
          </w:r>
          <w:r w:rsidR="00133B4E" w:rsidRPr="00406EBF">
            <w:rPr>
              <w:rFonts w:cstheme="minorHAnsi"/>
              <w:sz w:val="23"/>
              <w:szCs w:val="23"/>
            </w:rPr>
            <w:t>La décision de clôture d’une enquête est transmise, avec ses résultats, au plaignant.</w:t>
          </w:r>
        </w:p>
        <w:p w14:paraId="33043B9A" w14:textId="77777777" w:rsidR="007C316A" w:rsidRPr="00406EBF" w:rsidRDefault="007C316A" w:rsidP="001878CC">
          <w:pPr>
            <w:tabs>
              <w:tab w:val="left" w:pos="709"/>
            </w:tabs>
            <w:spacing w:line="240" w:lineRule="auto"/>
            <w:jc w:val="both"/>
            <w:rPr>
              <w:rFonts w:cstheme="minorHAnsi"/>
              <w:sz w:val="23"/>
              <w:szCs w:val="23"/>
            </w:rPr>
          </w:pPr>
        </w:p>
        <w:p w14:paraId="446F4003" w14:textId="1C263EE5" w:rsidR="003F3E9C" w:rsidRPr="00406EBF" w:rsidRDefault="003F3E9C" w:rsidP="003F3E9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Le Comité P et l’AIG ont développé une base de données dénommée « KLFP » (KlachtenFiche-FichePlaintes) relative aux plaintes et dénonciations à l’encontre de </w:t>
          </w:r>
          <w:r w:rsidR="003E5338">
            <w:rPr>
              <w:rFonts w:cstheme="minorHAnsi"/>
              <w:sz w:val="23"/>
              <w:szCs w:val="23"/>
            </w:rPr>
            <w:t>personnels</w:t>
          </w:r>
          <w:r w:rsidR="003E5338" w:rsidRPr="00406EBF">
            <w:rPr>
              <w:rFonts w:cstheme="minorHAnsi"/>
              <w:sz w:val="23"/>
              <w:szCs w:val="23"/>
            </w:rPr>
            <w:t xml:space="preserve"> </w:t>
          </w:r>
          <w:r w:rsidRPr="00406EBF">
            <w:rPr>
              <w:rFonts w:cstheme="minorHAnsi"/>
              <w:sz w:val="23"/>
              <w:szCs w:val="23"/>
            </w:rPr>
            <w:t>de police reçues par les services de police. Il s’agit d’une application disponible sur le réseau des services de police, qui a pour but de leur permettre de communiquer électroniquement au Comité P et à l’Inspection générale les informations dont ils disposent concernant les plaintes reçues à leur niveau. D’après les informations recueillies par l’EEG, les services de police n’ont pas l’obligation d’alimenter cette banque de données et tous ne le font pas. Elle ne donne donc qu’une vue partielle des plaintes. L’AIG et le Comité P travaillent à la simplifier. Dans ce cadre, l’EEG encourage les autorités à faire en sorte que l’alimentation de la base de données KLFP soit plus rigoureuse et systématique, afin que les organes de contrôle bénéficient d’une information plus complète concernant les plaintes déposées contre des policiers.</w:t>
          </w:r>
        </w:p>
        <w:p w14:paraId="7AF78E59" w14:textId="77777777" w:rsidR="003F3E9C" w:rsidRPr="00406EBF" w:rsidRDefault="003F3E9C" w:rsidP="001878CC">
          <w:pPr>
            <w:tabs>
              <w:tab w:val="left" w:pos="709"/>
            </w:tabs>
            <w:spacing w:line="240" w:lineRule="auto"/>
            <w:jc w:val="both"/>
            <w:rPr>
              <w:rFonts w:cstheme="minorHAnsi"/>
              <w:sz w:val="23"/>
              <w:szCs w:val="23"/>
            </w:rPr>
          </w:pPr>
        </w:p>
        <w:p w14:paraId="061CF5AE"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78" w:name="_Toc2777437"/>
          <w:bookmarkStart w:id="179" w:name="_Toc21339610"/>
          <w:r w:rsidRPr="00406EBF">
            <w:rPr>
              <w:rFonts w:asciiTheme="minorHAnsi" w:hAnsiTheme="minorHAnsi" w:cstheme="minorHAnsi"/>
              <w:b w:val="0"/>
              <w:i/>
              <w:color w:val="auto"/>
              <w:sz w:val="23"/>
              <w:szCs w:val="23"/>
            </w:rPr>
            <w:t>Obligation de signalement et protection des lanceurs d’alerte</w:t>
          </w:r>
          <w:bookmarkEnd w:id="178"/>
          <w:bookmarkEnd w:id="179"/>
        </w:p>
        <w:p w14:paraId="2009C5BE" w14:textId="77777777" w:rsidR="007C316A" w:rsidRPr="00406EBF" w:rsidRDefault="007C316A" w:rsidP="001878CC">
          <w:pPr>
            <w:spacing w:line="240" w:lineRule="auto"/>
            <w:jc w:val="both"/>
            <w:rPr>
              <w:rFonts w:cstheme="minorHAnsi"/>
              <w:sz w:val="23"/>
              <w:szCs w:val="23"/>
            </w:rPr>
          </w:pPr>
        </w:p>
        <w:p w14:paraId="31F3BFF9" w14:textId="77777777" w:rsidR="007C316A" w:rsidRPr="00406EBF" w:rsidRDefault="00A25AD0" w:rsidP="00A25AD0">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w:t>
          </w:r>
          <w:r w:rsidR="00EF23A2" w:rsidRPr="00406EBF">
            <w:rPr>
              <w:rFonts w:cstheme="minorHAnsi"/>
              <w:sz w:val="23"/>
              <w:szCs w:val="23"/>
            </w:rPr>
            <w:t xml:space="preserve">a </w:t>
          </w:r>
          <w:r w:rsidRPr="00406EBF">
            <w:rPr>
              <w:rFonts w:cstheme="minorHAnsi"/>
              <w:sz w:val="23"/>
              <w:szCs w:val="23"/>
            </w:rPr>
            <w:t>loi du 15 septembre 2013 relative à la dénonciation d’une atteinte suspectée à l’intégrité au sein d’une autorité administrative fédérale par un membre de son personnel (voir paragraphes 130 et suivants de ce rapport)</w:t>
          </w:r>
          <w:r w:rsidR="00EF23A2" w:rsidRPr="00406EBF">
            <w:rPr>
              <w:rFonts w:cstheme="minorHAnsi"/>
              <w:sz w:val="23"/>
              <w:szCs w:val="23"/>
            </w:rPr>
            <w:t xml:space="preserve"> a été modifiée le 8 mai 2019 afin d’étendre expressément son champ d’application à l’ensemble de la police intégrée</w:t>
          </w:r>
          <w:r w:rsidRPr="00406EBF">
            <w:rPr>
              <w:rFonts w:cstheme="minorHAnsi"/>
              <w:sz w:val="23"/>
              <w:szCs w:val="23"/>
            </w:rPr>
            <w:t>.</w:t>
          </w:r>
          <w:r w:rsidR="00EF23A2" w:rsidRPr="00406EBF">
            <w:rPr>
              <w:rFonts w:cstheme="minorHAnsi"/>
              <w:sz w:val="23"/>
              <w:szCs w:val="23"/>
            </w:rPr>
            <w:t xml:space="preserve"> </w:t>
          </w:r>
        </w:p>
        <w:p w14:paraId="6F1884E7" w14:textId="77777777" w:rsidR="00EF23A2" w:rsidRPr="00406EBF" w:rsidRDefault="00EF23A2" w:rsidP="00EF23A2">
          <w:pPr>
            <w:tabs>
              <w:tab w:val="left" w:pos="709"/>
            </w:tabs>
            <w:spacing w:line="240" w:lineRule="auto"/>
            <w:jc w:val="both"/>
            <w:rPr>
              <w:rFonts w:cstheme="minorHAnsi"/>
              <w:sz w:val="23"/>
              <w:szCs w:val="23"/>
            </w:rPr>
          </w:pPr>
        </w:p>
        <w:p w14:paraId="1AAF7CC5" w14:textId="77777777" w:rsidR="00EF23A2" w:rsidRPr="00406EBF" w:rsidRDefault="00EF23A2" w:rsidP="00EF23A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Cette modification, qui est entrée en vigueur le 17 juin 2019, vient clarifier la situation antérieure. En effet, il n’était pas clair si la loi de 2013 était applicable à la police intégrée et le Centre Intégrité du Médiateur Fédéral</w:t>
          </w:r>
          <w:r w:rsidR="00EC7575" w:rsidRPr="00406EBF">
            <w:rPr>
              <w:rFonts w:cstheme="minorHAnsi"/>
              <w:sz w:val="23"/>
              <w:szCs w:val="23"/>
            </w:rPr>
            <w:t xml:space="preserve"> (CINT)</w:t>
          </w:r>
          <w:r w:rsidRPr="00406EBF">
            <w:rPr>
              <w:rFonts w:cstheme="minorHAnsi"/>
              <w:sz w:val="23"/>
              <w:szCs w:val="23"/>
            </w:rPr>
            <w:t>, compétent pour recevoir les dénonciations, n’en avait reçu aucune émanant de la police. Les policiers lanceurs d’alerte s’adressaient plutôt au Comité P, mais ne bénéficiaient d’aucune protection autre que la possibilité de faire une dénonciation anonyme.</w:t>
          </w:r>
        </w:p>
        <w:p w14:paraId="595245F1" w14:textId="77777777" w:rsidR="00EF23A2" w:rsidRPr="00406EBF" w:rsidRDefault="00EF23A2" w:rsidP="00EF23A2">
          <w:pPr>
            <w:pStyle w:val="Paragraphedeliste"/>
            <w:rPr>
              <w:rFonts w:cstheme="minorHAnsi"/>
              <w:sz w:val="23"/>
              <w:szCs w:val="23"/>
            </w:rPr>
          </w:pPr>
        </w:p>
        <w:p w14:paraId="4452071E" w14:textId="7FF1DC91" w:rsidR="00EF23A2" w:rsidRPr="00406EBF" w:rsidRDefault="00EF23A2" w:rsidP="00EF23A2">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La modification législative du 8 mai 2019 </w:t>
          </w:r>
          <w:r w:rsidR="007B5E8B">
            <w:rPr>
              <w:rFonts w:cstheme="minorHAnsi"/>
              <w:sz w:val="23"/>
              <w:szCs w:val="23"/>
            </w:rPr>
            <w:t>prévoit une nouvelle procédure à l’attention des membres du personnel de la police intégrée en ce qui concerne la dénonciation d’une atteinte suspectée à l’intégrité au sein de la police intégrée</w:t>
          </w:r>
          <w:r w:rsidR="00156E98">
            <w:rPr>
              <w:rFonts w:cstheme="minorHAnsi"/>
              <w:sz w:val="23"/>
              <w:szCs w:val="23"/>
            </w:rPr>
            <w:t>. Un nouveau système est à utiliser p</w:t>
          </w:r>
          <w:r w:rsidR="001246E3">
            <w:rPr>
              <w:rFonts w:cstheme="minorHAnsi"/>
              <w:sz w:val="23"/>
              <w:szCs w:val="23"/>
            </w:rPr>
            <w:t>o</w:t>
          </w:r>
          <w:r w:rsidR="00156E98">
            <w:rPr>
              <w:rFonts w:cstheme="minorHAnsi"/>
              <w:sz w:val="23"/>
              <w:szCs w:val="23"/>
            </w:rPr>
            <w:t>ur faire une telle dénonciation, dont le comité P constitue la composante externe lorsque le lanceur d’alerte est un fonctionnaire de police</w:t>
          </w:r>
          <w:r w:rsidR="008F52E1" w:rsidRPr="00406EBF">
            <w:rPr>
              <w:rFonts w:cstheme="minorHAnsi"/>
              <w:sz w:val="23"/>
              <w:szCs w:val="23"/>
            </w:rPr>
            <w:t xml:space="preserve">. Parmi les autres avancées, l’allongement de la durée de protection des lanceurs d’alerte, qui passe de deux à trois ans, la possibilité pour d’anciens membres du personnel qui ont quitté le service depuis moins de deux ans de faire appel à ce dispositif et la possibilité offerte aux lanceurs d’alerte et à toute personne associée à l’enquête relative à une dénonciation d’être affecté temporairement et sous condition à un autre service ou à une autre organisation fédérale. L’EEG salue les efforts du législateur belge en vue de mieux protéger les lanceurs d’alerte. </w:t>
          </w:r>
        </w:p>
        <w:p w14:paraId="19E7D833" w14:textId="77777777" w:rsidR="00F15876" w:rsidRPr="00406EBF" w:rsidRDefault="00F15876" w:rsidP="00F15876">
          <w:pPr>
            <w:pStyle w:val="Paragraphedeliste"/>
            <w:rPr>
              <w:rFonts w:cstheme="minorHAnsi"/>
              <w:sz w:val="23"/>
              <w:szCs w:val="23"/>
            </w:rPr>
          </w:pPr>
        </w:p>
        <w:p w14:paraId="6E5DEF3F" w14:textId="7F729465" w:rsidR="00F15876" w:rsidRPr="00406EBF" w:rsidRDefault="00F15876" w:rsidP="00436C8E">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S’agissant de l’obligation de signalement, </w:t>
          </w:r>
          <w:r w:rsidR="00EC7575" w:rsidRPr="00406EBF">
            <w:rPr>
              <w:rFonts w:cstheme="minorHAnsi"/>
              <w:sz w:val="23"/>
              <w:szCs w:val="23"/>
            </w:rPr>
            <w:t xml:space="preserve">la loi du 15 septembre 2013 </w:t>
          </w:r>
          <w:r w:rsidRPr="00406EBF">
            <w:rPr>
              <w:rFonts w:cstheme="minorHAnsi"/>
              <w:sz w:val="23"/>
              <w:szCs w:val="23"/>
            </w:rPr>
            <w:t xml:space="preserve">dispense le </w:t>
          </w:r>
          <w:r w:rsidR="003E5338">
            <w:rPr>
              <w:rFonts w:cstheme="minorHAnsi"/>
              <w:sz w:val="23"/>
              <w:szCs w:val="23"/>
            </w:rPr>
            <w:t>membre du personnel</w:t>
          </w:r>
          <w:r w:rsidR="003E5338" w:rsidRPr="00406EBF">
            <w:rPr>
              <w:rFonts w:cstheme="minorHAnsi"/>
              <w:sz w:val="23"/>
              <w:szCs w:val="23"/>
            </w:rPr>
            <w:t xml:space="preserve"> </w:t>
          </w:r>
          <w:r w:rsidRPr="00406EBF">
            <w:rPr>
              <w:rFonts w:cstheme="minorHAnsi"/>
              <w:sz w:val="23"/>
              <w:szCs w:val="23"/>
            </w:rPr>
            <w:t>ayant eu connaissance d’un crime ou d’un délit de l’obligation d’en avertir le procureur du Roi, visée à l'article 29 du Code d’instruction criminelle</w:t>
          </w:r>
          <w:r w:rsidR="007B032D">
            <w:rPr>
              <w:rStyle w:val="Appelnotedebasdep"/>
              <w:rFonts w:cstheme="minorHAnsi"/>
              <w:sz w:val="23"/>
              <w:szCs w:val="23"/>
            </w:rPr>
            <w:footnoteReference w:id="59"/>
          </w:r>
          <w:r w:rsidRPr="00406EBF">
            <w:rPr>
              <w:rFonts w:cstheme="minorHAnsi"/>
              <w:sz w:val="23"/>
              <w:szCs w:val="23"/>
            </w:rPr>
            <w:t>. Cette obligation est transférée aux personnes de confiance intégrité (PCI)</w:t>
          </w:r>
          <w:r w:rsidR="00EC7575" w:rsidRPr="00406EBF">
            <w:rPr>
              <w:rFonts w:cstheme="minorHAnsi"/>
              <w:sz w:val="23"/>
              <w:szCs w:val="23"/>
            </w:rPr>
            <w:t>, au Comité P</w:t>
          </w:r>
          <w:r w:rsidRPr="00406EBF">
            <w:rPr>
              <w:rFonts w:cstheme="minorHAnsi"/>
              <w:sz w:val="23"/>
              <w:szCs w:val="23"/>
            </w:rPr>
            <w:t xml:space="preserve"> et au CINT</w:t>
          </w:r>
          <w:r w:rsidR="00FE3DF6" w:rsidRPr="00406EBF">
            <w:rPr>
              <w:rFonts w:cstheme="minorHAnsi"/>
              <w:sz w:val="23"/>
              <w:szCs w:val="23"/>
            </w:rPr>
            <w:t xml:space="preserve">, qui, dans le cadre </w:t>
          </w:r>
          <w:r w:rsidR="00FE3DF6" w:rsidRPr="00406EBF">
            <w:rPr>
              <w:rFonts w:cstheme="minorHAnsi"/>
              <w:sz w:val="23"/>
              <w:szCs w:val="23"/>
            </w:rPr>
            <w:lastRenderedPageBreak/>
            <w:t>du traitement d’un signalement, sont tenus d’informer le procureur du Roi en cas de connaissance d’un crime ou d’un délit potentiel.</w:t>
          </w:r>
        </w:p>
        <w:p w14:paraId="24B0321C" w14:textId="77777777" w:rsidR="00B02AF1" w:rsidRPr="00406EBF" w:rsidRDefault="00B02AF1" w:rsidP="00B02AF1">
          <w:pPr>
            <w:pStyle w:val="Paragraphedeliste"/>
            <w:rPr>
              <w:rFonts w:cstheme="minorHAnsi"/>
              <w:sz w:val="23"/>
              <w:szCs w:val="23"/>
            </w:rPr>
          </w:pPr>
        </w:p>
        <w:p w14:paraId="167F1725" w14:textId="04790FD4" w:rsidR="00B02AF1" w:rsidRPr="00406EBF" w:rsidRDefault="00B02AF1" w:rsidP="00F15876">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 xml:space="preserve">En outre, </w:t>
          </w:r>
          <w:r w:rsidR="009C51F2">
            <w:rPr>
              <w:rFonts w:cstheme="minorHAnsi"/>
              <w:sz w:val="23"/>
              <w:szCs w:val="23"/>
            </w:rPr>
            <w:t>le point</w:t>
          </w:r>
          <w:r w:rsidRPr="00406EBF">
            <w:rPr>
              <w:rFonts w:cstheme="minorHAnsi"/>
              <w:sz w:val="23"/>
              <w:szCs w:val="23"/>
            </w:rPr>
            <w:t xml:space="preserve"> 13 du Code de déontologie prévoit qu’en cas de constat de « violations graves des règles déontologiques pouvant entraîner un préjudice grave ou irréparable » par des membres du personnel, ils doivent prendre toutes disposition utile pour les faire cesser. Le paragraphe 2 de ce</w:t>
          </w:r>
          <w:r w:rsidR="009C51F2">
            <w:rPr>
              <w:rFonts w:cstheme="minorHAnsi"/>
              <w:sz w:val="23"/>
              <w:szCs w:val="23"/>
            </w:rPr>
            <w:t xml:space="preserve"> poin</w:t>
          </w:r>
          <w:r w:rsidRPr="00406EBF">
            <w:rPr>
              <w:rFonts w:cstheme="minorHAnsi"/>
              <w:sz w:val="23"/>
              <w:szCs w:val="23"/>
            </w:rPr>
            <w:t>t précise que s’ils sont témoins directs d’actes délicteux ou dangereux, violences illégitimes ou traitements inhumains, ils doivent les faire cesser et porter les faits à la connaissance de l’autorité compétente. L’EEG constate que ce</w:t>
          </w:r>
          <w:r w:rsidR="000B25FF">
            <w:rPr>
              <w:rFonts w:cstheme="minorHAnsi"/>
              <w:sz w:val="23"/>
              <w:szCs w:val="23"/>
            </w:rPr>
            <w:t xml:space="preserve"> point</w:t>
          </w:r>
          <w:r w:rsidRPr="00406EBF">
            <w:rPr>
              <w:rFonts w:cstheme="minorHAnsi"/>
              <w:sz w:val="23"/>
              <w:szCs w:val="23"/>
            </w:rPr>
            <w:t xml:space="preserve"> n’établit pas une obligation générale de signalement des manquements </w:t>
          </w:r>
          <w:r w:rsidR="004C0D1E" w:rsidRPr="00406EBF">
            <w:rPr>
              <w:rFonts w:cstheme="minorHAnsi"/>
              <w:sz w:val="23"/>
              <w:szCs w:val="23"/>
            </w:rPr>
            <w:t xml:space="preserve">déontologiques </w:t>
          </w:r>
          <w:r w:rsidR="004C0D1E" w:rsidRPr="004C0D1E">
            <w:rPr>
              <w:rFonts w:cstheme="minorHAnsi"/>
              <w:sz w:val="23"/>
              <w:szCs w:val="23"/>
            </w:rPr>
            <w:t>et</w:t>
          </w:r>
          <w:r w:rsidRPr="00406EBF">
            <w:rPr>
              <w:rFonts w:cstheme="minorHAnsi"/>
              <w:sz w:val="23"/>
              <w:szCs w:val="23"/>
            </w:rPr>
            <w:t xml:space="preserve"> il invite les autorités belges à combler cette lacune dans le cadre de la mise à jour du Code de déontologie recommandée au </w:t>
          </w:r>
          <w:r w:rsidRPr="004409F8">
            <w:rPr>
              <w:rFonts w:cstheme="minorHAnsi"/>
              <w:sz w:val="23"/>
              <w:szCs w:val="23"/>
            </w:rPr>
            <w:t xml:space="preserve">paragraphe </w:t>
          </w:r>
          <w:r w:rsidR="007F2679" w:rsidRPr="004409F8">
            <w:rPr>
              <w:rFonts w:cstheme="minorHAnsi"/>
              <w:sz w:val="23"/>
              <w:szCs w:val="23"/>
            </w:rPr>
            <w:t>16</w:t>
          </w:r>
          <w:r w:rsidR="0019274D" w:rsidRPr="004409F8">
            <w:rPr>
              <w:rFonts w:cstheme="minorHAnsi"/>
              <w:sz w:val="23"/>
              <w:szCs w:val="23"/>
            </w:rPr>
            <w:t>6</w:t>
          </w:r>
          <w:r w:rsidR="007F2679" w:rsidRPr="004409F8">
            <w:rPr>
              <w:rFonts w:cstheme="minorHAnsi"/>
              <w:sz w:val="23"/>
              <w:szCs w:val="23"/>
            </w:rPr>
            <w:t>.</w:t>
          </w:r>
        </w:p>
        <w:p w14:paraId="24A7980C" w14:textId="77777777" w:rsidR="00B02AF1" w:rsidRPr="00406EBF" w:rsidRDefault="00B02AF1" w:rsidP="00B02AF1">
          <w:pPr>
            <w:pStyle w:val="Paragraphedeliste"/>
            <w:rPr>
              <w:rFonts w:cstheme="minorHAnsi"/>
              <w:sz w:val="23"/>
              <w:szCs w:val="23"/>
            </w:rPr>
          </w:pPr>
        </w:p>
        <w:p w14:paraId="4C80C147"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80" w:name="_Toc2777438"/>
          <w:bookmarkStart w:id="181" w:name="_Toc21339611"/>
          <w:r w:rsidRPr="00406EBF">
            <w:rPr>
              <w:rFonts w:asciiTheme="minorHAnsi" w:hAnsiTheme="minorHAnsi" w:cstheme="minorHAnsi"/>
              <w:b w:val="0"/>
              <w:i/>
              <w:color w:val="auto"/>
              <w:sz w:val="23"/>
              <w:szCs w:val="23"/>
            </w:rPr>
            <w:t>Poursuites pénales et immunité</w:t>
          </w:r>
          <w:bookmarkEnd w:id="180"/>
          <w:bookmarkEnd w:id="181"/>
        </w:p>
        <w:p w14:paraId="02838E1F" w14:textId="77777777" w:rsidR="007C316A" w:rsidRPr="00406EBF" w:rsidRDefault="007C316A" w:rsidP="001878CC">
          <w:pPr>
            <w:spacing w:line="240" w:lineRule="auto"/>
            <w:jc w:val="both"/>
            <w:rPr>
              <w:rFonts w:cstheme="minorHAnsi"/>
              <w:sz w:val="23"/>
              <w:szCs w:val="23"/>
            </w:rPr>
          </w:pPr>
        </w:p>
        <w:p w14:paraId="0BF00020" w14:textId="77777777" w:rsidR="007C316A" w:rsidRPr="00406EBF" w:rsidRDefault="00410C50" w:rsidP="001878CC">
          <w:pPr>
            <w:numPr>
              <w:ilvl w:val="0"/>
              <w:numId w:val="1"/>
            </w:numPr>
            <w:tabs>
              <w:tab w:val="left" w:pos="709"/>
            </w:tabs>
            <w:spacing w:line="240" w:lineRule="auto"/>
            <w:ind w:left="0" w:firstLine="0"/>
            <w:jc w:val="both"/>
            <w:rPr>
              <w:rFonts w:cstheme="minorHAnsi"/>
              <w:sz w:val="23"/>
              <w:szCs w:val="23"/>
            </w:rPr>
          </w:pPr>
          <w:r w:rsidRPr="00406EBF">
            <w:rPr>
              <w:rFonts w:cstheme="minorHAnsi"/>
              <w:sz w:val="23"/>
              <w:szCs w:val="23"/>
            </w:rPr>
            <w:t>Les membres de la police fédérale ne jouissent d’aucune immunité. Ils sont soumis à la procédure pénale ordinaire.</w:t>
          </w:r>
        </w:p>
        <w:p w14:paraId="11417C55" w14:textId="77777777" w:rsidR="007C316A" w:rsidRPr="00406EBF" w:rsidRDefault="007C316A" w:rsidP="001878CC">
          <w:pPr>
            <w:spacing w:line="240" w:lineRule="auto"/>
            <w:jc w:val="both"/>
            <w:rPr>
              <w:rFonts w:cstheme="minorHAnsi"/>
              <w:sz w:val="23"/>
              <w:szCs w:val="23"/>
            </w:rPr>
          </w:pPr>
        </w:p>
        <w:p w14:paraId="184B95E6"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82" w:name="_Toc2777439"/>
          <w:bookmarkStart w:id="183" w:name="_Toc21339612"/>
          <w:r w:rsidRPr="00406EBF">
            <w:rPr>
              <w:rFonts w:asciiTheme="minorHAnsi" w:hAnsiTheme="minorHAnsi" w:cstheme="minorHAnsi"/>
              <w:b w:val="0"/>
              <w:i/>
              <w:color w:val="auto"/>
              <w:sz w:val="23"/>
              <w:szCs w:val="23"/>
            </w:rPr>
            <w:t>Statistiques</w:t>
          </w:r>
          <w:bookmarkEnd w:id="182"/>
          <w:bookmarkEnd w:id="183"/>
        </w:p>
        <w:p w14:paraId="26C258A8" w14:textId="77777777" w:rsidR="007C316A" w:rsidRPr="00406EBF" w:rsidRDefault="007C316A" w:rsidP="001878CC">
          <w:pPr>
            <w:spacing w:line="240" w:lineRule="auto"/>
            <w:jc w:val="both"/>
            <w:rPr>
              <w:rFonts w:cstheme="minorHAnsi"/>
              <w:sz w:val="23"/>
              <w:szCs w:val="23"/>
            </w:rPr>
          </w:pPr>
        </w:p>
        <w:p w14:paraId="08CFFACA" w14:textId="77777777" w:rsidR="00B345FB" w:rsidRPr="00406EBF" w:rsidRDefault="00B345FB" w:rsidP="00AE367F">
          <w:pPr>
            <w:spacing w:line="240" w:lineRule="auto"/>
            <w:jc w:val="both"/>
            <w:rPr>
              <w:rFonts w:cstheme="minorHAnsi"/>
              <w:b/>
              <w:sz w:val="23"/>
              <w:szCs w:val="23"/>
            </w:rPr>
          </w:pPr>
          <w:r w:rsidRPr="00406EBF">
            <w:rPr>
              <w:rFonts w:cstheme="minorHAnsi"/>
              <w:b/>
              <w:sz w:val="23"/>
              <w:szCs w:val="23"/>
              <w:u w:val="single"/>
            </w:rPr>
            <w:t>Tableau 1 :</w:t>
          </w:r>
          <w:r w:rsidRPr="00406EBF">
            <w:rPr>
              <w:rFonts w:cstheme="minorHAnsi"/>
              <w:b/>
              <w:sz w:val="23"/>
              <w:szCs w:val="23"/>
            </w:rPr>
            <w:t xml:space="preserve"> Nombre de plaintes déposées directement au Comité P </w:t>
          </w:r>
          <w:r w:rsidR="00AE367F" w:rsidRPr="00406EBF">
            <w:rPr>
              <w:rFonts w:cstheme="minorHAnsi"/>
              <w:b/>
              <w:sz w:val="23"/>
              <w:szCs w:val="23"/>
            </w:rPr>
            <w:t>visant</w:t>
          </w:r>
          <w:r w:rsidR="00436C8E" w:rsidRPr="00406EBF">
            <w:rPr>
              <w:rFonts w:cstheme="minorHAnsi"/>
              <w:b/>
              <w:sz w:val="23"/>
              <w:szCs w:val="23"/>
            </w:rPr>
            <w:t xml:space="preserve"> </w:t>
          </w:r>
          <w:r w:rsidRPr="00406EBF">
            <w:rPr>
              <w:rFonts w:cstheme="minorHAnsi"/>
              <w:b/>
              <w:sz w:val="23"/>
              <w:szCs w:val="23"/>
            </w:rPr>
            <w:t>de</w:t>
          </w:r>
          <w:r w:rsidR="00436C8E" w:rsidRPr="00406EBF">
            <w:rPr>
              <w:rFonts w:cstheme="minorHAnsi"/>
              <w:b/>
              <w:sz w:val="23"/>
              <w:szCs w:val="23"/>
            </w:rPr>
            <w:t>s</w:t>
          </w:r>
          <w:r w:rsidRPr="00406EBF">
            <w:rPr>
              <w:rFonts w:cstheme="minorHAnsi"/>
              <w:b/>
              <w:sz w:val="23"/>
              <w:szCs w:val="23"/>
            </w:rPr>
            <w:t xml:space="preserve"> policiers pour des faits de corruption pour la période 2013 – 2017 et orientation</w:t>
          </w:r>
        </w:p>
        <w:p w14:paraId="2DD4D9BC" w14:textId="77777777" w:rsidR="00B345FB" w:rsidRPr="00406EBF" w:rsidRDefault="00B345FB" w:rsidP="00B345FB">
          <w:pPr>
            <w:pStyle w:val="Notedebasdepage"/>
            <w:spacing w:after="120" w:line="276" w:lineRule="auto"/>
            <w:jc w:val="both"/>
            <w:rPr>
              <w:rFonts w:asciiTheme="minorHAnsi" w:hAnsiTheme="minorHAnsi" w:cstheme="minorHAnsi"/>
              <w:sz w:val="21"/>
              <w:szCs w:val="21"/>
              <w:lang w:val="fr-BE"/>
            </w:rPr>
          </w:pPr>
          <w:r w:rsidRPr="00406EBF">
            <w:rPr>
              <w:rFonts w:asciiTheme="minorHAnsi" w:hAnsiTheme="minorHAnsi" w:cstheme="minorHAnsi"/>
              <w:sz w:val="21"/>
              <w:szCs w:val="21"/>
              <w:u w:val="single"/>
              <w:lang w:val="fr-BE"/>
            </w:rPr>
            <w:t>Remarques préalables</w:t>
          </w:r>
          <w:r w:rsidRPr="00406EBF">
            <w:rPr>
              <w:rFonts w:asciiTheme="minorHAnsi" w:hAnsiTheme="minorHAnsi" w:cstheme="minorHAnsi"/>
              <w:sz w:val="21"/>
              <w:szCs w:val="21"/>
              <w:lang w:val="fr-BE"/>
            </w:rPr>
            <w:t xml:space="preserve"> : </w:t>
          </w:r>
        </w:p>
        <w:p w14:paraId="59B1C1EC" w14:textId="77777777" w:rsidR="00B345FB" w:rsidRPr="00406EBF" w:rsidRDefault="00B345FB" w:rsidP="00436C8E">
          <w:pPr>
            <w:pStyle w:val="Notedebasdepage"/>
            <w:jc w:val="both"/>
            <w:rPr>
              <w:rFonts w:asciiTheme="minorHAnsi" w:hAnsiTheme="minorHAnsi" w:cstheme="minorHAnsi"/>
              <w:sz w:val="21"/>
              <w:szCs w:val="21"/>
              <w:lang w:val="fr-BE"/>
            </w:rPr>
          </w:pPr>
          <w:r w:rsidRPr="00406EBF">
            <w:rPr>
              <w:rFonts w:asciiTheme="minorHAnsi" w:hAnsiTheme="minorHAnsi" w:cstheme="minorHAnsi"/>
              <w:sz w:val="21"/>
              <w:szCs w:val="21"/>
              <w:lang w:val="fr-BE"/>
            </w:rPr>
            <w:t>(1) Lors de leur encodage dans la base de données du Comité P, les allégations contenues dans les plaintes font l’objet d’une qualification en fonction de codes prédéterminés. Le(s) code(s) attribué(s) reflète(nt) la qualification des faits tels qu’ils sont allégués par le plaignant</w:t>
          </w:r>
          <w:r w:rsidR="00436C8E" w:rsidRPr="00406EBF">
            <w:rPr>
              <w:rFonts w:asciiTheme="minorHAnsi" w:hAnsiTheme="minorHAnsi" w:cstheme="minorHAnsi"/>
              <w:sz w:val="21"/>
              <w:szCs w:val="21"/>
              <w:lang w:val="fr-BE"/>
            </w:rPr>
            <w:t xml:space="preserve"> et </w:t>
          </w:r>
          <w:r w:rsidRPr="00406EBF">
            <w:rPr>
              <w:rFonts w:asciiTheme="minorHAnsi" w:hAnsiTheme="minorHAnsi" w:cstheme="minorHAnsi"/>
              <w:sz w:val="21"/>
              <w:szCs w:val="21"/>
              <w:lang w:val="fr-BE"/>
            </w:rPr>
            <w:t xml:space="preserve">n’est/ne sont pas modifié(s) par la suite en fonction des résultats de l’enquête. Il est donc important de souligner que les données chiffrées communiquées ci-après ne peuvent donc pas être considérées comme reflétant nécessairement des faits réellement avérés. </w:t>
          </w:r>
          <w:r w:rsidRPr="00406EBF">
            <w:rPr>
              <w:rFonts w:asciiTheme="minorHAnsi" w:hAnsiTheme="minorHAnsi" w:cstheme="minorHAnsi"/>
              <w:sz w:val="21"/>
              <w:szCs w:val="21"/>
              <w:lang w:val="fr-BE"/>
            </w:rPr>
            <w:tab/>
          </w:r>
          <w:r w:rsidRPr="00406EBF">
            <w:rPr>
              <w:rFonts w:asciiTheme="minorHAnsi" w:hAnsiTheme="minorHAnsi" w:cstheme="minorHAnsi"/>
              <w:sz w:val="21"/>
              <w:szCs w:val="21"/>
              <w:lang w:val="fr-BE"/>
            </w:rPr>
            <w:br/>
            <w:t>(2) Etant donné que les plaintes comportent souvent plusieurs doléances, plusieurs codes de qualification des faits peuvent être utilisés au sein d’un même dossier de plainte.</w:t>
          </w:r>
        </w:p>
        <w:p w14:paraId="13695AE8" w14:textId="77777777" w:rsidR="00B345FB" w:rsidRPr="00406EBF" w:rsidRDefault="00B345FB" w:rsidP="00B345FB">
          <w:pPr>
            <w:pStyle w:val="Notedebasdepage"/>
            <w:spacing w:after="120" w:line="276" w:lineRule="auto"/>
            <w:jc w:val="both"/>
            <w:rPr>
              <w:rFonts w:asciiTheme="minorHAnsi" w:hAnsiTheme="minorHAnsi" w:cstheme="minorHAnsi"/>
              <w:sz w:val="23"/>
              <w:szCs w:val="23"/>
              <w:lang w:val="fr-BE"/>
            </w:rPr>
          </w:pPr>
        </w:p>
        <w:tbl>
          <w:tblPr>
            <w:tblStyle w:val="Grilledutableau"/>
            <w:tblW w:w="0" w:type="auto"/>
            <w:tblLook w:val="04A0" w:firstRow="1" w:lastRow="0" w:firstColumn="1" w:lastColumn="0" w:noHBand="0" w:noVBand="1"/>
          </w:tblPr>
          <w:tblGrid>
            <w:gridCol w:w="1671"/>
            <w:gridCol w:w="1172"/>
            <w:gridCol w:w="1245"/>
            <w:gridCol w:w="1245"/>
            <w:gridCol w:w="1245"/>
            <w:gridCol w:w="1246"/>
            <w:gridCol w:w="1236"/>
          </w:tblGrid>
          <w:tr w:rsidR="00B345FB" w:rsidRPr="00406EBF" w14:paraId="22609E81" w14:textId="77777777" w:rsidTr="00225815">
            <w:tc>
              <w:tcPr>
                <w:tcW w:w="1708" w:type="dxa"/>
                <w:shd w:val="clear" w:color="auto" w:fill="8DB3E2" w:themeFill="text2" w:themeFillTint="66"/>
              </w:tcPr>
              <w:p w14:paraId="4BD1421C" w14:textId="77777777" w:rsidR="00B345FB" w:rsidRPr="00406EBF" w:rsidRDefault="00B345FB" w:rsidP="00225815">
                <w:pPr>
                  <w:jc w:val="center"/>
                  <w:rPr>
                    <w:b/>
                    <w:sz w:val="21"/>
                    <w:szCs w:val="21"/>
                  </w:rPr>
                </w:pPr>
                <w:r w:rsidRPr="00406EBF">
                  <w:rPr>
                    <w:b/>
                    <w:sz w:val="21"/>
                    <w:szCs w:val="21"/>
                  </w:rPr>
                  <w:t>CORRUPTION</w:t>
                </w:r>
              </w:p>
            </w:tc>
            <w:tc>
              <w:tcPr>
                <w:tcW w:w="1359" w:type="dxa"/>
                <w:shd w:val="clear" w:color="auto" w:fill="000080"/>
              </w:tcPr>
              <w:p w14:paraId="35E1FF1E"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2013</w:t>
                </w:r>
              </w:p>
            </w:tc>
            <w:tc>
              <w:tcPr>
                <w:tcW w:w="1458" w:type="dxa"/>
                <w:shd w:val="clear" w:color="auto" w:fill="000080"/>
              </w:tcPr>
              <w:p w14:paraId="3A04FEA9"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2014</w:t>
                </w:r>
              </w:p>
              <w:p w14:paraId="6CAA6E49"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6155DF01"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2015</w:t>
                </w:r>
              </w:p>
              <w:p w14:paraId="36590633"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104FAE65"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2016</w:t>
                </w:r>
              </w:p>
              <w:p w14:paraId="5BE20054" w14:textId="77777777" w:rsidR="00B345FB" w:rsidRPr="00406EBF" w:rsidRDefault="00B345FB" w:rsidP="00225815">
                <w:pPr>
                  <w:jc w:val="center"/>
                  <w:rPr>
                    <w:b/>
                    <w:color w:val="FFFFFF" w:themeColor="background1"/>
                    <w:sz w:val="21"/>
                    <w:szCs w:val="21"/>
                  </w:rPr>
                </w:pPr>
              </w:p>
            </w:tc>
            <w:tc>
              <w:tcPr>
                <w:tcW w:w="1459" w:type="dxa"/>
                <w:shd w:val="clear" w:color="auto" w:fill="000080"/>
              </w:tcPr>
              <w:p w14:paraId="083373BB"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2017</w:t>
                </w:r>
              </w:p>
              <w:p w14:paraId="38EB7EE9" w14:textId="77777777" w:rsidR="00B345FB" w:rsidRPr="00406EBF" w:rsidRDefault="00B345FB" w:rsidP="00225815">
                <w:pPr>
                  <w:jc w:val="center"/>
                  <w:rPr>
                    <w:b/>
                    <w:color w:val="FFFFFF" w:themeColor="background1"/>
                    <w:sz w:val="21"/>
                    <w:szCs w:val="21"/>
                  </w:rPr>
                </w:pPr>
              </w:p>
            </w:tc>
            <w:tc>
              <w:tcPr>
                <w:tcW w:w="1396" w:type="dxa"/>
                <w:shd w:val="clear" w:color="auto" w:fill="000080"/>
              </w:tcPr>
              <w:p w14:paraId="3D709067"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TOTAL</w:t>
                </w:r>
              </w:p>
            </w:tc>
          </w:tr>
          <w:tr w:rsidR="00B345FB" w:rsidRPr="00406EBF" w14:paraId="4C7AC70E" w14:textId="77777777" w:rsidTr="00225815">
            <w:tc>
              <w:tcPr>
                <w:tcW w:w="1708" w:type="dxa"/>
                <w:shd w:val="clear" w:color="auto" w:fill="FFFFFF" w:themeFill="background1"/>
              </w:tcPr>
              <w:p w14:paraId="6FAD8198" w14:textId="77777777" w:rsidR="00B345FB" w:rsidRPr="00406EBF" w:rsidRDefault="00B345FB" w:rsidP="00225815">
                <w:pPr>
                  <w:rPr>
                    <w:b/>
                    <w:sz w:val="21"/>
                    <w:szCs w:val="21"/>
                  </w:rPr>
                </w:pPr>
                <w:r w:rsidRPr="00406EBF">
                  <w:rPr>
                    <w:b/>
                    <w:sz w:val="21"/>
                    <w:szCs w:val="21"/>
                  </w:rPr>
                  <w:t>Nombre de plaintes</w:t>
                </w:r>
              </w:p>
            </w:tc>
            <w:tc>
              <w:tcPr>
                <w:tcW w:w="1359" w:type="dxa"/>
              </w:tcPr>
              <w:p w14:paraId="6E51900A" w14:textId="77777777" w:rsidR="00B345FB" w:rsidRPr="00406EBF" w:rsidRDefault="00B345FB" w:rsidP="00225815">
                <w:pPr>
                  <w:jc w:val="center"/>
                  <w:rPr>
                    <w:sz w:val="21"/>
                    <w:szCs w:val="21"/>
                  </w:rPr>
                </w:pPr>
                <w:r w:rsidRPr="00406EBF">
                  <w:rPr>
                    <w:sz w:val="21"/>
                    <w:szCs w:val="21"/>
                  </w:rPr>
                  <w:t>2</w:t>
                </w:r>
              </w:p>
            </w:tc>
            <w:tc>
              <w:tcPr>
                <w:tcW w:w="1458" w:type="dxa"/>
              </w:tcPr>
              <w:p w14:paraId="4A0FB828" w14:textId="77777777" w:rsidR="00B345FB" w:rsidRPr="00406EBF" w:rsidRDefault="00B345FB" w:rsidP="00225815">
                <w:pPr>
                  <w:jc w:val="center"/>
                  <w:rPr>
                    <w:sz w:val="21"/>
                    <w:szCs w:val="21"/>
                  </w:rPr>
                </w:pPr>
                <w:r w:rsidRPr="00406EBF">
                  <w:rPr>
                    <w:sz w:val="21"/>
                    <w:szCs w:val="21"/>
                  </w:rPr>
                  <w:t>2</w:t>
                </w:r>
              </w:p>
            </w:tc>
            <w:tc>
              <w:tcPr>
                <w:tcW w:w="1458" w:type="dxa"/>
              </w:tcPr>
              <w:p w14:paraId="5818BF5B" w14:textId="77777777" w:rsidR="00B345FB" w:rsidRPr="00406EBF" w:rsidRDefault="00B345FB" w:rsidP="00225815">
                <w:pPr>
                  <w:jc w:val="center"/>
                  <w:rPr>
                    <w:sz w:val="21"/>
                    <w:szCs w:val="21"/>
                  </w:rPr>
                </w:pPr>
                <w:r w:rsidRPr="00406EBF">
                  <w:rPr>
                    <w:sz w:val="21"/>
                    <w:szCs w:val="21"/>
                  </w:rPr>
                  <w:t>7</w:t>
                </w:r>
              </w:p>
            </w:tc>
            <w:tc>
              <w:tcPr>
                <w:tcW w:w="1458" w:type="dxa"/>
              </w:tcPr>
              <w:p w14:paraId="4871E451" w14:textId="77777777" w:rsidR="00B345FB" w:rsidRPr="00406EBF" w:rsidRDefault="00B345FB" w:rsidP="00225815">
                <w:pPr>
                  <w:jc w:val="center"/>
                  <w:rPr>
                    <w:sz w:val="21"/>
                    <w:szCs w:val="21"/>
                  </w:rPr>
                </w:pPr>
                <w:r w:rsidRPr="00406EBF">
                  <w:rPr>
                    <w:sz w:val="21"/>
                    <w:szCs w:val="21"/>
                  </w:rPr>
                  <w:t>5</w:t>
                </w:r>
              </w:p>
            </w:tc>
            <w:tc>
              <w:tcPr>
                <w:tcW w:w="1459" w:type="dxa"/>
              </w:tcPr>
              <w:p w14:paraId="5450E498" w14:textId="77777777" w:rsidR="00B345FB" w:rsidRPr="00406EBF" w:rsidRDefault="00B345FB" w:rsidP="00225815">
                <w:pPr>
                  <w:jc w:val="center"/>
                  <w:rPr>
                    <w:sz w:val="21"/>
                    <w:szCs w:val="21"/>
                  </w:rPr>
                </w:pPr>
                <w:r w:rsidRPr="00406EBF">
                  <w:rPr>
                    <w:sz w:val="21"/>
                    <w:szCs w:val="21"/>
                  </w:rPr>
                  <w:t>4</w:t>
                </w:r>
              </w:p>
            </w:tc>
            <w:tc>
              <w:tcPr>
                <w:tcW w:w="1396" w:type="dxa"/>
              </w:tcPr>
              <w:p w14:paraId="3E5E8E02" w14:textId="77777777" w:rsidR="00B345FB" w:rsidRPr="00406EBF" w:rsidRDefault="00B345FB" w:rsidP="00225815">
                <w:pPr>
                  <w:jc w:val="center"/>
                  <w:rPr>
                    <w:sz w:val="21"/>
                    <w:szCs w:val="21"/>
                  </w:rPr>
                </w:pPr>
                <w:r w:rsidRPr="00406EBF">
                  <w:rPr>
                    <w:sz w:val="21"/>
                    <w:szCs w:val="21"/>
                  </w:rPr>
                  <w:t>20</w:t>
                </w:r>
              </w:p>
            </w:tc>
          </w:tr>
          <w:tr w:rsidR="00B345FB" w:rsidRPr="00406EBF" w14:paraId="068C5F51" w14:textId="77777777" w:rsidTr="00225815">
            <w:tc>
              <w:tcPr>
                <w:tcW w:w="1708" w:type="dxa"/>
                <w:shd w:val="clear" w:color="auto" w:fill="FFFFFF" w:themeFill="background1"/>
              </w:tcPr>
              <w:p w14:paraId="1D33463F" w14:textId="73A136CA" w:rsidR="00B345FB" w:rsidRPr="00406EBF" w:rsidRDefault="00B345FB" w:rsidP="00225815">
                <w:pPr>
                  <w:rPr>
                    <w:b/>
                    <w:sz w:val="21"/>
                    <w:szCs w:val="21"/>
                  </w:rPr>
                </w:pPr>
                <w:r w:rsidRPr="00406EBF">
                  <w:rPr>
                    <w:b/>
                    <w:sz w:val="21"/>
                    <w:szCs w:val="21"/>
                  </w:rPr>
                  <w:t>Nombre total de plaintes</w:t>
                </w:r>
                <w:r w:rsidR="007B032D">
                  <w:rPr>
                    <w:b/>
                    <w:sz w:val="21"/>
                    <w:szCs w:val="21"/>
                  </w:rPr>
                  <w:t xml:space="preserve"> pour tout motif</w:t>
                </w:r>
              </w:p>
            </w:tc>
            <w:tc>
              <w:tcPr>
                <w:tcW w:w="1359" w:type="dxa"/>
              </w:tcPr>
              <w:p w14:paraId="531A906A" w14:textId="77777777" w:rsidR="00B345FB" w:rsidRPr="00406EBF" w:rsidRDefault="00B345FB" w:rsidP="00225815">
                <w:pPr>
                  <w:jc w:val="center"/>
                  <w:rPr>
                    <w:sz w:val="21"/>
                    <w:szCs w:val="21"/>
                  </w:rPr>
                </w:pPr>
                <w:r w:rsidRPr="00406EBF">
                  <w:rPr>
                    <w:sz w:val="21"/>
                    <w:szCs w:val="21"/>
                  </w:rPr>
                  <w:t>2885</w:t>
                </w:r>
              </w:p>
            </w:tc>
            <w:tc>
              <w:tcPr>
                <w:tcW w:w="1458" w:type="dxa"/>
              </w:tcPr>
              <w:p w14:paraId="3D230ED2" w14:textId="77777777" w:rsidR="00B345FB" w:rsidRPr="00406EBF" w:rsidRDefault="00B345FB" w:rsidP="00225815">
                <w:pPr>
                  <w:jc w:val="center"/>
                  <w:rPr>
                    <w:sz w:val="21"/>
                    <w:szCs w:val="21"/>
                  </w:rPr>
                </w:pPr>
                <w:r w:rsidRPr="00406EBF">
                  <w:rPr>
                    <w:sz w:val="21"/>
                    <w:szCs w:val="21"/>
                  </w:rPr>
                  <w:t>2771</w:t>
                </w:r>
              </w:p>
            </w:tc>
            <w:tc>
              <w:tcPr>
                <w:tcW w:w="1458" w:type="dxa"/>
              </w:tcPr>
              <w:p w14:paraId="04FC5FBD" w14:textId="77777777" w:rsidR="00B345FB" w:rsidRPr="00406EBF" w:rsidRDefault="00B345FB" w:rsidP="00225815">
                <w:pPr>
                  <w:jc w:val="center"/>
                  <w:rPr>
                    <w:sz w:val="21"/>
                    <w:szCs w:val="21"/>
                  </w:rPr>
                </w:pPr>
                <w:r w:rsidRPr="00406EBF">
                  <w:rPr>
                    <w:sz w:val="21"/>
                    <w:szCs w:val="21"/>
                  </w:rPr>
                  <w:t>2561</w:t>
                </w:r>
              </w:p>
            </w:tc>
            <w:tc>
              <w:tcPr>
                <w:tcW w:w="1458" w:type="dxa"/>
              </w:tcPr>
              <w:p w14:paraId="60F19A25" w14:textId="77777777" w:rsidR="00B345FB" w:rsidRPr="00406EBF" w:rsidRDefault="00B345FB" w:rsidP="00225815">
                <w:pPr>
                  <w:jc w:val="center"/>
                  <w:rPr>
                    <w:sz w:val="21"/>
                    <w:szCs w:val="21"/>
                  </w:rPr>
                </w:pPr>
                <w:r w:rsidRPr="00406EBF">
                  <w:rPr>
                    <w:sz w:val="21"/>
                    <w:szCs w:val="21"/>
                  </w:rPr>
                  <w:t>2663</w:t>
                </w:r>
              </w:p>
            </w:tc>
            <w:tc>
              <w:tcPr>
                <w:tcW w:w="1459" w:type="dxa"/>
              </w:tcPr>
              <w:p w14:paraId="2FB35808" w14:textId="77777777" w:rsidR="00B345FB" w:rsidRPr="00406EBF" w:rsidRDefault="00B345FB" w:rsidP="00225815">
                <w:pPr>
                  <w:jc w:val="center"/>
                  <w:rPr>
                    <w:sz w:val="21"/>
                    <w:szCs w:val="21"/>
                  </w:rPr>
                </w:pPr>
                <w:r w:rsidRPr="00406EBF">
                  <w:rPr>
                    <w:sz w:val="21"/>
                    <w:szCs w:val="21"/>
                  </w:rPr>
                  <w:t>2733</w:t>
                </w:r>
              </w:p>
            </w:tc>
            <w:tc>
              <w:tcPr>
                <w:tcW w:w="1396" w:type="dxa"/>
              </w:tcPr>
              <w:p w14:paraId="0E44F58A" w14:textId="77777777" w:rsidR="00B345FB" w:rsidRPr="00406EBF" w:rsidRDefault="00B345FB" w:rsidP="00225815">
                <w:pPr>
                  <w:jc w:val="center"/>
                  <w:rPr>
                    <w:sz w:val="21"/>
                    <w:szCs w:val="21"/>
                  </w:rPr>
                </w:pPr>
              </w:p>
            </w:tc>
          </w:tr>
          <w:tr w:rsidR="00B345FB" w:rsidRPr="00406EBF" w14:paraId="296B3FBA" w14:textId="77777777" w:rsidTr="00225815">
            <w:tc>
              <w:tcPr>
                <w:tcW w:w="1708" w:type="dxa"/>
                <w:shd w:val="clear" w:color="auto" w:fill="FFFFFF" w:themeFill="background1"/>
              </w:tcPr>
              <w:p w14:paraId="52315209" w14:textId="77777777" w:rsidR="00B345FB" w:rsidRPr="00406EBF" w:rsidRDefault="00B345FB" w:rsidP="00225815">
                <w:pPr>
                  <w:rPr>
                    <w:b/>
                    <w:sz w:val="21"/>
                    <w:szCs w:val="21"/>
                  </w:rPr>
                </w:pPr>
                <w:r w:rsidRPr="00406EBF">
                  <w:rPr>
                    <w:b/>
                    <w:sz w:val="21"/>
                    <w:szCs w:val="21"/>
                  </w:rPr>
                  <w:t>Orientations</w:t>
                </w:r>
                <w:r w:rsidRPr="00406EBF">
                  <w:rPr>
                    <w:rStyle w:val="Appelnotedebasdep"/>
                    <w:sz w:val="21"/>
                    <w:szCs w:val="21"/>
                  </w:rPr>
                  <w:footnoteReference w:id="60"/>
                </w:r>
                <w:r w:rsidRPr="00406EBF">
                  <w:rPr>
                    <w:b/>
                    <w:sz w:val="21"/>
                    <w:szCs w:val="21"/>
                  </w:rPr>
                  <w:t> :</w:t>
                </w:r>
              </w:p>
            </w:tc>
            <w:tc>
              <w:tcPr>
                <w:tcW w:w="8588" w:type="dxa"/>
                <w:gridSpan w:val="6"/>
              </w:tcPr>
              <w:p w14:paraId="4924F22B" w14:textId="77777777" w:rsidR="00B345FB" w:rsidRPr="00406EBF" w:rsidRDefault="00B345FB" w:rsidP="00225815">
                <w:pPr>
                  <w:jc w:val="center"/>
                  <w:rPr>
                    <w:sz w:val="21"/>
                    <w:szCs w:val="21"/>
                  </w:rPr>
                </w:pPr>
              </w:p>
            </w:tc>
          </w:tr>
          <w:tr w:rsidR="00B345FB" w:rsidRPr="00406EBF" w14:paraId="5955ADC1" w14:textId="77777777" w:rsidTr="00225815">
            <w:tc>
              <w:tcPr>
                <w:tcW w:w="1708" w:type="dxa"/>
                <w:shd w:val="clear" w:color="auto" w:fill="FFFFFF" w:themeFill="background1"/>
              </w:tcPr>
              <w:p w14:paraId="12788FD3" w14:textId="77777777" w:rsidR="00B345FB" w:rsidRPr="00406EBF" w:rsidRDefault="00B345FB" w:rsidP="00225815">
                <w:pPr>
                  <w:rPr>
                    <w:sz w:val="21"/>
                    <w:szCs w:val="21"/>
                    <w:lang w:val="fr-BE"/>
                  </w:rPr>
                </w:pPr>
                <w:r w:rsidRPr="00406EBF">
                  <w:rPr>
                    <w:sz w:val="21"/>
                    <w:szCs w:val="21"/>
                    <w:lang w:val="fr-BE"/>
                  </w:rPr>
                  <w:t>Classement sans suite/ incompétence rationae materiae</w:t>
                </w:r>
              </w:p>
            </w:tc>
            <w:tc>
              <w:tcPr>
                <w:tcW w:w="1359" w:type="dxa"/>
              </w:tcPr>
              <w:p w14:paraId="36324F8B" w14:textId="77777777" w:rsidR="00B345FB" w:rsidRPr="00406EBF" w:rsidRDefault="00B345FB" w:rsidP="00225815">
                <w:pPr>
                  <w:jc w:val="center"/>
                  <w:rPr>
                    <w:sz w:val="21"/>
                    <w:szCs w:val="21"/>
                  </w:rPr>
                </w:pPr>
                <w:r w:rsidRPr="00406EBF">
                  <w:rPr>
                    <w:sz w:val="21"/>
                    <w:szCs w:val="21"/>
                  </w:rPr>
                  <w:t>0</w:t>
                </w:r>
              </w:p>
            </w:tc>
            <w:tc>
              <w:tcPr>
                <w:tcW w:w="1458" w:type="dxa"/>
              </w:tcPr>
              <w:p w14:paraId="432262AF" w14:textId="77777777" w:rsidR="00B345FB" w:rsidRPr="00406EBF" w:rsidRDefault="00B345FB" w:rsidP="00225815">
                <w:pPr>
                  <w:jc w:val="center"/>
                  <w:rPr>
                    <w:sz w:val="21"/>
                    <w:szCs w:val="21"/>
                  </w:rPr>
                </w:pPr>
                <w:r w:rsidRPr="00406EBF">
                  <w:rPr>
                    <w:sz w:val="21"/>
                    <w:szCs w:val="21"/>
                  </w:rPr>
                  <w:t>1</w:t>
                </w:r>
              </w:p>
            </w:tc>
            <w:tc>
              <w:tcPr>
                <w:tcW w:w="1458" w:type="dxa"/>
              </w:tcPr>
              <w:p w14:paraId="1930AF97" w14:textId="77777777" w:rsidR="00B345FB" w:rsidRPr="00406EBF" w:rsidRDefault="00B345FB" w:rsidP="00225815">
                <w:pPr>
                  <w:jc w:val="center"/>
                  <w:rPr>
                    <w:sz w:val="21"/>
                    <w:szCs w:val="21"/>
                  </w:rPr>
                </w:pPr>
                <w:r w:rsidRPr="00406EBF">
                  <w:rPr>
                    <w:sz w:val="21"/>
                    <w:szCs w:val="21"/>
                  </w:rPr>
                  <w:t>2</w:t>
                </w:r>
              </w:p>
            </w:tc>
            <w:tc>
              <w:tcPr>
                <w:tcW w:w="1458" w:type="dxa"/>
              </w:tcPr>
              <w:p w14:paraId="7BCCE96D" w14:textId="77777777" w:rsidR="00B345FB" w:rsidRPr="00406EBF" w:rsidRDefault="00B345FB" w:rsidP="00225815">
                <w:pPr>
                  <w:jc w:val="center"/>
                  <w:rPr>
                    <w:sz w:val="21"/>
                    <w:szCs w:val="21"/>
                  </w:rPr>
                </w:pPr>
                <w:r w:rsidRPr="00406EBF">
                  <w:rPr>
                    <w:sz w:val="21"/>
                    <w:szCs w:val="21"/>
                  </w:rPr>
                  <w:t>2</w:t>
                </w:r>
              </w:p>
            </w:tc>
            <w:tc>
              <w:tcPr>
                <w:tcW w:w="1459" w:type="dxa"/>
              </w:tcPr>
              <w:p w14:paraId="7F23F5ED" w14:textId="77777777" w:rsidR="00B345FB" w:rsidRPr="00406EBF" w:rsidRDefault="00B345FB" w:rsidP="00225815">
                <w:pPr>
                  <w:jc w:val="center"/>
                  <w:rPr>
                    <w:sz w:val="21"/>
                    <w:szCs w:val="21"/>
                  </w:rPr>
                </w:pPr>
                <w:r w:rsidRPr="00406EBF">
                  <w:rPr>
                    <w:sz w:val="21"/>
                    <w:szCs w:val="21"/>
                  </w:rPr>
                  <w:t>1</w:t>
                </w:r>
              </w:p>
            </w:tc>
            <w:tc>
              <w:tcPr>
                <w:tcW w:w="1396" w:type="dxa"/>
              </w:tcPr>
              <w:p w14:paraId="219E84B4" w14:textId="77777777" w:rsidR="00B345FB" w:rsidRPr="00406EBF" w:rsidRDefault="00B345FB" w:rsidP="00225815">
                <w:pPr>
                  <w:jc w:val="center"/>
                  <w:rPr>
                    <w:sz w:val="21"/>
                    <w:szCs w:val="21"/>
                  </w:rPr>
                </w:pPr>
                <w:r w:rsidRPr="00406EBF">
                  <w:rPr>
                    <w:sz w:val="21"/>
                    <w:szCs w:val="21"/>
                  </w:rPr>
                  <w:t>6</w:t>
                </w:r>
              </w:p>
            </w:tc>
          </w:tr>
          <w:tr w:rsidR="00B345FB" w:rsidRPr="00406EBF" w14:paraId="0A38A546" w14:textId="77777777" w:rsidTr="00225815">
            <w:tc>
              <w:tcPr>
                <w:tcW w:w="1708" w:type="dxa"/>
                <w:shd w:val="clear" w:color="auto" w:fill="FFFFFF" w:themeFill="background1"/>
              </w:tcPr>
              <w:p w14:paraId="46F7A013" w14:textId="77777777" w:rsidR="00B345FB" w:rsidRPr="00406EBF" w:rsidRDefault="00B345FB" w:rsidP="00225815">
                <w:pPr>
                  <w:rPr>
                    <w:sz w:val="21"/>
                    <w:szCs w:val="21"/>
                  </w:rPr>
                </w:pPr>
                <w:r w:rsidRPr="00406EBF">
                  <w:rPr>
                    <w:sz w:val="21"/>
                    <w:szCs w:val="21"/>
                  </w:rPr>
                  <w:t>Parquet</w:t>
                </w:r>
              </w:p>
            </w:tc>
            <w:tc>
              <w:tcPr>
                <w:tcW w:w="1359" w:type="dxa"/>
              </w:tcPr>
              <w:p w14:paraId="24C4E660" w14:textId="77777777" w:rsidR="00B345FB" w:rsidRPr="00406EBF" w:rsidRDefault="00B345FB" w:rsidP="00225815">
                <w:pPr>
                  <w:jc w:val="center"/>
                  <w:rPr>
                    <w:sz w:val="21"/>
                    <w:szCs w:val="21"/>
                  </w:rPr>
                </w:pPr>
                <w:r w:rsidRPr="00406EBF">
                  <w:rPr>
                    <w:sz w:val="21"/>
                    <w:szCs w:val="21"/>
                  </w:rPr>
                  <w:t>1</w:t>
                </w:r>
              </w:p>
            </w:tc>
            <w:tc>
              <w:tcPr>
                <w:tcW w:w="1458" w:type="dxa"/>
              </w:tcPr>
              <w:p w14:paraId="30C6B2D0" w14:textId="77777777" w:rsidR="00B345FB" w:rsidRPr="00406EBF" w:rsidRDefault="00B345FB" w:rsidP="00225815">
                <w:pPr>
                  <w:jc w:val="center"/>
                  <w:rPr>
                    <w:sz w:val="21"/>
                    <w:szCs w:val="21"/>
                  </w:rPr>
                </w:pPr>
                <w:r w:rsidRPr="00406EBF">
                  <w:rPr>
                    <w:sz w:val="21"/>
                    <w:szCs w:val="21"/>
                  </w:rPr>
                  <w:t>0</w:t>
                </w:r>
              </w:p>
            </w:tc>
            <w:tc>
              <w:tcPr>
                <w:tcW w:w="1458" w:type="dxa"/>
              </w:tcPr>
              <w:p w14:paraId="51C6A968" w14:textId="77777777" w:rsidR="00B345FB" w:rsidRPr="00406EBF" w:rsidRDefault="00B345FB" w:rsidP="00225815">
                <w:pPr>
                  <w:jc w:val="center"/>
                  <w:rPr>
                    <w:sz w:val="21"/>
                    <w:szCs w:val="21"/>
                  </w:rPr>
                </w:pPr>
                <w:r w:rsidRPr="00406EBF">
                  <w:rPr>
                    <w:sz w:val="21"/>
                    <w:szCs w:val="21"/>
                  </w:rPr>
                  <w:t>4</w:t>
                </w:r>
              </w:p>
            </w:tc>
            <w:tc>
              <w:tcPr>
                <w:tcW w:w="1458" w:type="dxa"/>
              </w:tcPr>
              <w:p w14:paraId="4D5DDE6F" w14:textId="77777777" w:rsidR="00B345FB" w:rsidRPr="00406EBF" w:rsidRDefault="00B345FB" w:rsidP="00225815">
                <w:pPr>
                  <w:jc w:val="center"/>
                  <w:rPr>
                    <w:sz w:val="21"/>
                    <w:szCs w:val="21"/>
                  </w:rPr>
                </w:pPr>
                <w:r w:rsidRPr="00406EBF">
                  <w:rPr>
                    <w:sz w:val="21"/>
                    <w:szCs w:val="21"/>
                  </w:rPr>
                  <w:t>2</w:t>
                </w:r>
              </w:p>
            </w:tc>
            <w:tc>
              <w:tcPr>
                <w:tcW w:w="1459" w:type="dxa"/>
              </w:tcPr>
              <w:p w14:paraId="252B387E" w14:textId="77777777" w:rsidR="00B345FB" w:rsidRPr="00406EBF" w:rsidRDefault="00B345FB" w:rsidP="00225815">
                <w:pPr>
                  <w:jc w:val="center"/>
                  <w:rPr>
                    <w:sz w:val="21"/>
                    <w:szCs w:val="21"/>
                  </w:rPr>
                </w:pPr>
                <w:r w:rsidRPr="00406EBF">
                  <w:rPr>
                    <w:sz w:val="21"/>
                    <w:szCs w:val="21"/>
                  </w:rPr>
                  <w:t>1</w:t>
                </w:r>
              </w:p>
            </w:tc>
            <w:tc>
              <w:tcPr>
                <w:tcW w:w="1396" w:type="dxa"/>
              </w:tcPr>
              <w:p w14:paraId="06231065" w14:textId="77777777" w:rsidR="00B345FB" w:rsidRPr="00406EBF" w:rsidRDefault="00B345FB" w:rsidP="00225815">
                <w:pPr>
                  <w:jc w:val="center"/>
                  <w:rPr>
                    <w:sz w:val="21"/>
                    <w:szCs w:val="21"/>
                  </w:rPr>
                </w:pPr>
                <w:r w:rsidRPr="00406EBF">
                  <w:rPr>
                    <w:sz w:val="21"/>
                    <w:szCs w:val="21"/>
                  </w:rPr>
                  <w:t>8</w:t>
                </w:r>
              </w:p>
            </w:tc>
          </w:tr>
          <w:tr w:rsidR="00B345FB" w:rsidRPr="00406EBF" w14:paraId="7D77C7E4" w14:textId="77777777" w:rsidTr="00225815">
            <w:tc>
              <w:tcPr>
                <w:tcW w:w="1708" w:type="dxa"/>
                <w:shd w:val="clear" w:color="auto" w:fill="FFFFFF" w:themeFill="background1"/>
              </w:tcPr>
              <w:p w14:paraId="3A2912D8" w14:textId="77777777" w:rsidR="00B345FB" w:rsidRPr="00406EBF" w:rsidRDefault="00B345FB" w:rsidP="00225815">
                <w:pPr>
                  <w:rPr>
                    <w:sz w:val="21"/>
                    <w:szCs w:val="21"/>
                  </w:rPr>
                </w:pPr>
                <w:r w:rsidRPr="00406EBF">
                  <w:rPr>
                    <w:sz w:val="21"/>
                    <w:szCs w:val="21"/>
                  </w:rPr>
                  <w:t xml:space="preserve">Corps de police </w:t>
                </w:r>
              </w:p>
            </w:tc>
            <w:tc>
              <w:tcPr>
                <w:tcW w:w="1359" w:type="dxa"/>
              </w:tcPr>
              <w:p w14:paraId="54C4CCF2" w14:textId="77777777" w:rsidR="00B345FB" w:rsidRPr="00406EBF" w:rsidRDefault="00B345FB" w:rsidP="00225815">
                <w:pPr>
                  <w:jc w:val="center"/>
                  <w:rPr>
                    <w:sz w:val="21"/>
                    <w:szCs w:val="21"/>
                  </w:rPr>
                </w:pPr>
                <w:r w:rsidRPr="00406EBF">
                  <w:rPr>
                    <w:sz w:val="21"/>
                    <w:szCs w:val="21"/>
                  </w:rPr>
                  <w:t>0</w:t>
                </w:r>
              </w:p>
            </w:tc>
            <w:tc>
              <w:tcPr>
                <w:tcW w:w="1458" w:type="dxa"/>
              </w:tcPr>
              <w:p w14:paraId="1CF75002" w14:textId="77777777" w:rsidR="00B345FB" w:rsidRPr="00406EBF" w:rsidRDefault="00B345FB" w:rsidP="00225815">
                <w:pPr>
                  <w:jc w:val="center"/>
                  <w:rPr>
                    <w:sz w:val="21"/>
                    <w:szCs w:val="21"/>
                  </w:rPr>
                </w:pPr>
                <w:r w:rsidRPr="00406EBF">
                  <w:rPr>
                    <w:sz w:val="21"/>
                    <w:szCs w:val="21"/>
                  </w:rPr>
                  <w:t>0</w:t>
                </w:r>
              </w:p>
            </w:tc>
            <w:tc>
              <w:tcPr>
                <w:tcW w:w="1458" w:type="dxa"/>
              </w:tcPr>
              <w:p w14:paraId="56C52C60" w14:textId="77777777" w:rsidR="00B345FB" w:rsidRPr="00406EBF" w:rsidRDefault="00B345FB" w:rsidP="00225815">
                <w:pPr>
                  <w:jc w:val="center"/>
                  <w:rPr>
                    <w:sz w:val="21"/>
                    <w:szCs w:val="21"/>
                  </w:rPr>
                </w:pPr>
                <w:r w:rsidRPr="00406EBF">
                  <w:rPr>
                    <w:sz w:val="21"/>
                    <w:szCs w:val="21"/>
                  </w:rPr>
                  <w:t>1</w:t>
                </w:r>
              </w:p>
            </w:tc>
            <w:tc>
              <w:tcPr>
                <w:tcW w:w="1458" w:type="dxa"/>
              </w:tcPr>
              <w:p w14:paraId="65443BEF" w14:textId="77777777" w:rsidR="00B345FB" w:rsidRPr="00406EBF" w:rsidRDefault="00B345FB" w:rsidP="00225815">
                <w:pPr>
                  <w:jc w:val="center"/>
                  <w:rPr>
                    <w:sz w:val="21"/>
                    <w:szCs w:val="21"/>
                  </w:rPr>
                </w:pPr>
                <w:r w:rsidRPr="00406EBF">
                  <w:rPr>
                    <w:sz w:val="21"/>
                    <w:szCs w:val="21"/>
                  </w:rPr>
                  <w:t>2</w:t>
                </w:r>
              </w:p>
            </w:tc>
            <w:tc>
              <w:tcPr>
                <w:tcW w:w="1459" w:type="dxa"/>
              </w:tcPr>
              <w:p w14:paraId="05BC3098" w14:textId="77777777" w:rsidR="00B345FB" w:rsidRPr="00406EBF" w:rsidRDefault="00B345FB" w:rsidP="00225815">
                <w:pPr>
                  <w:jc w:val="center"/>
                  <w:rPr>
                    <w:sz w:val="21"/>
                    <w:szCs w:val="21"/>
                  </w:rPr>
                </w:pPr>
                <w:r w:rsidRPr="00406EBF">
                  <w:rPr>
                    <w:sz w:val="21"/>
                    <w:szCs w:val="21"/>
                  </w:rPr>
                  <w:t>1</w:t>
                </w:r>
              </w:p>
            </w:tc>
            <w:tc>
              <w:tcPr>
                <w:tcW w:w="1396" w:type="dxa"/>
              </w:tcPr>
              <w:p w14:paraId="1FA0F8DC" w14:textId="77777777" w:rsidR="00B345FB" w:rsidRPr="00406EBF" w:rsidRDefault="00B345FB" w:rsidP="00225815">
                <w:pPr>
                  <w:jc w:val="center"/>
                  <w:rPr>
                    <w:sz w:val="21"/>
                    <w:szCs w:val="21"/>
                  </w:rPr>
                </w:pPr>
                <w:r w:rsidRPr="00406EBF">
                  <w:rPr>
                    <w:sz w:val="21"/>
                    <w:szCs w:val="21"/>
                  </w:rPr>
                  <w:t>4</w:t>
                </w:r>
              </w:p>
            </w:tc>
          </w:tr>
          <w:tr w:rsidR="00B345FB" w:rsidRPr="00406EBF" w14:paraId="269EF724" w14:textId="77777777" w:rsidTr="00225815">
            <w:tc>
              <w:tcPr>
                <w:tcW w:w="1708" w:type="dxa"/>
                <w:shd w:val="clear" w:color="auto" w:fill="FFFFFF" w:themeFill="background1"/>
              </w:tcPr>
              <w:p w14:paraId="773C69F7" w14:textId="77777777" w:rsidR="00B345FB" w:rsidRPr="00406EBF" w:rsidRDefault="00B345FB" w:rsidP="00225815">
                <w:pPr>
                  <w:rPr>
                    <w:sz w:val="21"/>
                    <w:szCs w:val="21"/>
                  </w:rPr>
                </w:pPr>
                <w:r w:rsidRPr="00406EBF">
                  <w:rPr>
                    <w:sz w:val="21"/>
                    <w:szCs w:val="21"/>
                  </w:rPr>
                  <w:t>Service d’enquêtes P</w:t>
                </w:r>
              </w:p>
            </w:tc>
            <w:tc>
              <w:tcPr>
                <w:tcW w:w="1359" w:type="dxa"/>
              </w:tcPr>
              <w:p w14:paraId="63BA178C" w14:textId="77777777" w:rsidR="00B345FB" w:rsidRPr="00406EBF" w:rsidRDefault="00B345FB" w:rsidP="00225815">
                <w:pPr>
                  <w:jc w:val="center"/>
                  <w:rPr>
                    <w:sz w:val="21"/>
                    <w:szCs w:val="21"/>
                  </w:rPr>
                </w:pPr>
                <w:r w:rsidRPr="00406EBF">
                  <w:rPr>
                    <w:sz w:val="21"/>
                    <w:szCs w:val="21"/>
                  </w:rPr>
                  <w:t>1</w:t>
                </w:r>
              </w:p>
            </w:tc>
            <w:tc>
              <w:tcPr>
                <w:tcW w:w="1458" w:type="dxa"/>
              </w:tcPr>
              <w:p w14:paraId="75264892" w14:textId="77777777" w:rsidR="00B345FB" w:rsidRPr="00406EBF" w:rsidRDefault="00B345FB" w:rsidP="00225815">
                <w:pPr>
                  <w:jc w:val="center"/>
                  <w:rPr>
                    <w:sz w:val="21"/>
                    <w:szCs w:val="21"/>
                  </w:rPr>
                </w:pPr>
                <w:r w:rsidRPr="00406EBF">
                  <w:rPr>
                    <w:sz w:val="21"/>
                    <w:szCs w:val="21"/>
                  </w:rPr>
                  <w:t>1</w:t>
                </w:r>
              </w:p>
            </w:tc>
            <w:tc>
              <w:tcPr>
                <w:tcW w:w="1458" w:type="dxa"/>
              </w:tcPr>
              <w:p w14:paraId="58BB0CC3" w14:textId="77777777" w:rsidR="00B345FB" w:rsidRPr="00406EBF" w:rsidRDefault="00B345FB" w:rsidP="00225815">
                <w:pPr>
                  <w:jc w:val="center"/>
                  <w:rPr>
                    <w:sz w:val="21"/>
                    <w:szCs w:val="21"/>
                  </w:rPr>
                </w:pPr>
                <w:r w:rsidRPr="00406EBF">
                  <w:rPr>
                    <w:sz w:val="21"/>
                    <w:szCs w:val="21"/>
                  </w:rPr>
                  <w:t>1</w:t>
                </w:r>
              </w:p>
            </w:tc>
            <w:tc>
              <w:tcPr>
                <w:tcW w:w="1458" w:type="dxa"/>
              </w:tcPr>
              <w:p w14:paraId="1AE57B45" w14:textId="77777777" w:rsidR="00B345FB" w:rsidRPr="00406EBF" w:rsidRDefault="00B345FB" w:rsidP="00225815">
                <w:pPr>
                  <w:jc w:val="center"/>
                  <w:rPr>
                    <w:sz w:val="21"/>
                    <w:szCs w:val="21"/>
                  </w:rPr>
                </w:pPr>
                <w:r w:rsidRPr="00406EBF">
                  <w:rPr>
                    <w:sz w:val="21"/>
                    <w:szCs w:val="21"/>
                  </w:rPr>
                  <w:t>1</w:t>
                </w:r>
              </w:p>
            </w:tc>
            <w:tc>
              <w:tcPr>
                <w:tcW w:w="1459" w:type="dxa"/>
              </w:tcPr>
              <w:p w14:paraId="70B6C527" w14:textId="77777777" w:rsidR="00B345FB" w:rsidRPr="00406EBF" w:rsidRDefault="00B345FB" w:rsidP="00225815">
                <w:pPr>
                  <w:jc w:val="center"/>
                  <w:rPr>
                    <w:sz w:val="21"/>
                    <w:szCs w:val="21"/>
                  </w:rPr>
                </w:pPr>
                <w:r w:rsidRPr="00406EBF">
                  <w:rPr>
                    <w:sz w:val="21"/>
                    <w:szCs w:val="21"/>
                  </w:rPr>
                  <w:t>1</w:t>
                </w:r>
              </w:p>
            </w:tc>
            <w:tc>
              <w:tcPr>
                <w:tcW w:w="1396" w:type="dxa"/>
              </w:tcPr>
              <w:p w14:paraId="2EB66720" w14:textId="77777777" w:rsidR="00B345FB" w:rsidRPr="00406EBF" w:rsidRDefault="00B345FB" w:rsidP="00225815">
                <w:pPr>
                  <w:jc w:val="center"/>
                  <w:rPr>
                    <w:sz w:val="21"/>
                    <w:szCs w:val="21"/>
                  </w:rPr>
                </w:pPr>
                <w:r w:rsidRPr="00406EBF">
                  <w:rPr>
                    <w:sz w:val="21"/>
                    <w:szCs w:val="21"/>
                  </w:rPr>
                  <w:t>5</w:t>
                </w:r>
              </w:p>
            </w:tc>
          </w:tr>
        </w:tbl>
        <w:p w14:paraId="3B7BE29D" w14:textId="77777777" w:rsidR="007C316A" w:rsidRPr="00406EBF" w:rsidRDefault="007C316A" w:rsidP="00B345FB">
          <w:pPr>
            <w:tabs>
              <w:tab w:val="left" w:pos="709"/>
            </w:tabs>
            <w:spacing w:line="240" w:lineRule="auto"/>
            <w:jc w:val="both"/>
            <w:rPr>
              <w:rFonts w:cstheme="minorHAnsi"/>
              <w:sz w:val="23"/>
              <w:szCs w:val="23"/>
            </w:rPr>
          </w:pPr>
        </w:p>
        <w:p w14:paraId="1AB18644" w14:textId="77777777" w:rsidR="00B345FB" w:rsidRPr="00406EBF" w:rsidRDefault="00B345FB" w:rsidP="00AE367F">
          <w:pPr>
            <w:spacing w:line="240" w:lineRule="auto"/>
            <w:jc w:val="both"/>
            <w:rPr>
              <w:rFonts w:cstheme="minorHAnsi"/>
              <w:b/>
              <w:sz w:val="23"/>
              <w:szCs w:val="23"/>
            </w:rPr>
          </w:pPr>
          <w:r w:rsidRPr="00406EBF">
            <w:rPr>
              <w:rFonts w:cstheme="minorHAnsi"/>
              <w:b/>
              <w:sz w:val="23"/>
              <w:szCs w:val="23"/>
              <w:u w:val="single"/>
            </w:rPr>
            <w:t>Tableau 2 :</w:t>
          </w:r>
          <w:r w:rsidRPr="00406EBF">
            <w:rPr>
              <w:rFonts w:cstheme="minorHAnsi"/>
              <w:b/>
              <w:sz w:val="23"/>
              <w:szCs w:val="23"/>
            </w:rPr>
            <w:t xml:space="preserve"> Nombre de plaintes déposées directement au Comité P </w:t>
          </w:r>
          <w:r w:rsidR="00AE367F" w:rsidRPr="00406EBF">
            <w:rPr>
              <w:rFonts w:cstheme="minorHAnsi"/>
              <w:b/>
              <w:sz w:val="23"/>
              <w:szCs w:val="23"/>
            </w:rPr>
            <w:t>visant d</w:t>
          </w:r>
          <w:r w:rsidRPr="00406EBF">
            <w:rPr>
              <w:rFonts w:cstheme="minorHAnsi"/>
              <w:b/>
              <w:sz w:val="23"/>
              <w:szCs w:val="23"/>
            </w:rPr>
            <w:t>e</w:t>
          </w:r>
          <w:r w:rsidR="00AE367F" w:rsidRPr="00406EBF">
            <w:rPr>
              <w:rFonts w:cstheme="minorHAnsi"/>
              <w:b/>
              <w:sz w:val="23"/>
              <w:szCs w:val="23"/>
            </w:rPr>
            <w:t>s</w:t>
          </w:r>
          <w:r w:rsidRPr="00406EBF">
            <w:rPr>
              <w:rFonts w:cstheme="minorHAnsi"/>
              <w:b/>
              <w:sz w:val="23"/>
              <w:szCs w:val="23"/>
            </w:rPr>
            <w:t xml:space="preserve"> policiers pour des faits d’« actes incompatibles avec la profession-cumul d’activités »</w:t>
          </w:r>
          <w:r w:rsidRPr="00817FF1">
            <w:rPr>
              <w:rStyle w:val="Appelnotedebasdep"/>
              <w:rFonts w:cstheme="minorHAnsi"/>
              <w:b/>
              <w:sz w:val="23"/>
              <w:szCs w:val="23"/>
            </w:rPr>
            <w:footnoteReference w:id="61"/>
          </w:r>
          <w:r w:rsidRPr="00406EBF">
            <w:rPr>
              <w:rFonts w:cstheme="minorHAnsi"/>
              <w:b/>
              <w:i/>
              <w:sz w:val="23"/>
              <w:szCs w:val="23"/>
            </w:rPr>
            <w:t xml:space="preserve"> </w:t>
          </w:r>
          <w:r w:rsidRPr="00406EBF">
            <w:rPr>
              <w:rFonts w:cstheme="minorHAnsi"/>
              <w:b/>
              <w:sz w:val="23"/>
              <w:szCs w:val="23"/>
            </w:rPr>
            <w:t>pour la période 2013 – 2017 et orientation</w:t>
          </w:r>
        </w:p>
        <w:p w14:paraId="2778A164" w14:textId="77777777" w:rsidR="00B345FB" w:rsidRPr="00406EBF" w:rsidRDefault="00B345FB" w:rsidP="00B345FB">
          <w:pPr>
            <w:rPr>
              <w:rFonts w:cstheme="minorHAnsi"/>
              <w:b/>
              <w:sz w:val="21"/>
              <w:szCs w:val="21"/>
            </w:rPr>
          </w:pPr>
        </w:p>
        <w:tbl>
          <w:tblPr>
            <w:tblStyle w:val="Grilledutableau"/>
            <w:tblW w:w="0" w:type="auto"/>
            <w:tblLook w:val="04A0" w:firstRow="1" w:lastRow="0" w:firstColumn="1" w:lastColumn="0" w:noHBand="0" w:noVBand="1"/>
          </w:tblPr>
          <w:tblGrid>
            <w:gridCol w:w="1638"/>
            <w:gridCol w:w="1177"/>
            <w:gridCol w:w="1251"/>
            <w:gridCol w:w="1251"/>
            <w:gridCol w:w="1251"/>
            <w:gridCol w:w="1252"/>
            <w:gridCol w:w="1240"/>
          </w:tblGrid>
          <w:tr w:rsidR="00B345FB" w:rsidRPr="00406EBF" w14:paraId="4F71945C" w14:textId="77777777" w:rsidTr="00225815">
            <w:tc>
              <w:tcPr>
                <w:tcW w:w="1708" w:type="dxa"/>
                <w:shd w:val="clear" w:color="auto" w:fill="8DB3E2" w:themeFill="text2" w:themeFillTint="66"/>
              </w:tcPr>
              <w:p w14:paraId="59D44621" w14:textId="77777777" w:rsidR="00B345FB" w:rsidRPr="00406EBF" w:rsidRDefault="00B345FB" w:rsidP="00225815">
                <w:pPr>
                  <w:jc w:val="center"/>
                  <w:rPr>
                    <w:b/>
                    <w:sz w:val="21"/>
                    <w:szCs w:val="21"/>
                  </w:rPr>
                </w:pPr>
                <w:r w:rsidRPr="00406EBF">
                  <w:rPr>
                    <w:b/>
                    <w:sz w:val="21"/>
                    <w:szCs w:val="21"/>
                  </w:rPr>
                  <w:t>CUMUL D’ACTIVITÉS</w:t>
                </w:r>
              </w:p>
            </w:tc>
            <w:tc>
              <w:tcPr>
                <w:tcW w:w="1359" w:type="dxa"/>
                <w:shd w:val="clear" w:color="auto" w:fill="000080"/>
              </w:tcPr>
              <w:p w14:paraId="3F9340CC"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2013</w:t>
                </w:r>
              </w:p>
            </w:tc>
            <w:tc>
              <w:tcPr>
                <w:tcW w:w="1458" w:type="dxa"/>
                <w:shd w:val="clear" w:color="auto" w:fill="000080"/>
              </w:tcPr>
              <w:p w14:paraId="0F299FAA"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2014</w:t>
                </w:r>
              </w:p>
              <w:p w14:paraId="4ADEF029"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65B01F99"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2015</w:t>
                </w:r>
              </w:p>
              <w:p w14:paraId="30B90E18"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465E7C92"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2016</w:t>
                </w:r>
              </w:p>
              <w:p w14:paraId="31DDBC50" w14:textId="77777777" w:rsidR="00B345FB" w:rsidRPr="00406EBF" w:rsidRDefault="00B345FB" w:rsidP="00225815">
                <w:pPr>
                  <w:jc w:val="center"/>
                  <w:rPr>
                    <w:b/>
                    <w:color w:val="FFFFFF" w:themeColor="background1"/>
                    <w:sz w:val="21"/>
                    <w:szCs w:val="21"/>
                  </w:rPr>
                </w:pPr>
              </w:p>
            </w:tc>
            <w:tc>
              <w:tcPr>
                <w:tcW w:w="1459" w:type="dxa"/>
                <w:shd w:val="clear" w:color="auto" w:fill="000080"/>
              </w:tcPr>
              <w:p w14:paraId="228E29A6"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2017</w:t>
                </w:r>
              </w:p>
              <w:p w14:paraId="42E07DF3" w14:textId="77777777" w:rsidR="00B345FB" w:rsidRPr="00406EBF" w:rsidRDefault="00B345FB" w:rsidP="00225815">
                <w:pPr>
                  <w:jc w:val="center"/>
                  <w:rPr>
                    <w:b/>
                    <w:color w:val="FFFFFF" w:themeColor="background1"/>
                    <w:sz w:val="21"/>
                    <w:szCs w:val="21"/>
                  </w:rPr>
                </w:pPr>
              </w:p>
            </w:tc>
            <w:tc>
              <w:tcPr>
                <w:tcW w:w="1396" w:type="dxa"/>
                <w:shd w:val="clear" w:color="auto" w:fill="000080"/>
              </w:tcPr>
              <w:p w14:paraId="394CB968"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TOTAL</w:t>
                </w:r>
              </w:p>
            </w:tc>
          </w:tr>
          <w:tr w:rsidR="00B345FB" w:rsidRPr="00406EBF" w14:paraId="1CF1AA4B" w14:textId="77777777" w:rsidTr="00225815">
            <w:tc>
              <w:tcPr>
                <w:tcW w:w="1708" w:type="dxa"/>
                <w:shd w:val="clear" w:color="auto" w:fill="auto"/>
              </w:tcPr>
              <w:p w14:paraId="5355757F" w14:textId="77777777" w:rsidR="00B345FB" w:rsidRPr="00406EBF" w:rsidRDefault="00B345FB" w:rsidP="00225815">
                <w:pPr>
                  <w:rPr>
                    <w:b/>
                    <w:sz w:val="21"/>
                    <w:szCs w:val="21"/>
                  </w:rPr>
                </w:pPr>
                <w:r w:rsidRPr="00406EBF">
                  <w:rPr>
                    <w:b/>
                    <w:sz w:val="21"/>
                    <w:szCs w:val="21"/>
                  </w:rPr>
                  <w:t>Nombre de plaintes</w:t>
                </w:r>
              </w:p>
            </w:tc>
            <w:tc>
              <w:tcPr>
                <w:tcW w:w="1359" w:type="dxa"/>
              </w:tcPr>
              <w:p w14:paraId="10896E71" w14:textId="77777777" w:rsidR="00B345FB" w:rsidRPr="00406EBF" w:rsidRDefault="00B345FB" w:rsidP="00225815">
                <w:pPr>
                  <w:jc w:val="center"/>
                  <w:rPr>
                    <w:sz w:val="21"/>
                    <w:szCs w:val="21"/>
                  </w:rPr>
                </w:pPr>
                <w:r w:rsidRPr="00406EBF">
                  <w:rPr>
                    <w:sz w:val="21"/>
                    <w:szCs w:val="21"/>
                  </w:rPr>
                  <w:t>8</w:t>
                </w:r>
              </w:p>
            </w:tc>
            <w:tc>
              <w:tcPr>
                <w:tcW w:w="1458" w:type="dxa"/>
              </w:tcPr>
              <w:p w14:paraId="035EAEB6" w14:textId="77777777" w:rsidR="00B345FB" w:rsidRPr="00406EBF" w:rsidRDefault="00B345FB" w:rsidP="00225815">
                <w:pPr>
                  <w:jc w:val="center"/>
                  <w:rPr>
                    <w:sz w:val="21"/>
                    <w:szCs w:val="21"/>
                  </w:rPr>
                </w:pPr>
                <w:r w:rsidRPr="00406EBF">
                  <w:rPr>
                    <w:sz w:val="21"/>
                    <w:szCs w:val="21"/>
                  </w:rPr>
                  <w:t>12</w:t>
                </w:r>
              </w:p>
            </w:tc>
            <w:tc>
              <w:tcPr>
                <w:tcW w:w="1458" w:type="dxa"/>
              </w:tcPr>
              <w:p w14:paraId="62611E6F" w14:textId="77777777" w:rsidR="00B345FB" w:rsidRPr="00406EBF" w:rsidRDefault="00B345FB" w:rsidP="00225815">
                <w:pPr>
                  <w:jc w:val="center"/>
                  <w:rPr>
                    <w:sz w:val="21"/>
                    <w:szCs w:val="21"/>
                  </w:rPr>
                </w:pPr>
                <w:r w:rsidRPr="00406EBF">
                  <w:rPr>
                    <w:sz w:val="21"/>
                    <w:szCs w:val="21"/>
                  </w:rPr>
                  <w:t>10</w:t>
                </w:r>
              </w:p>
            </w:tc>
            <w:tc>
              <w:tcPr>
                <w:tcW w:w="1458" w:type="dxa"/>
              </w:tcPr>
              <w:p w14:paraId="42D96982" w14:textId="77777777" w:rsidR="00B345FB" w:rsidRPr="00406EBF" w:rsidRDefault="00B345FB" w:rsidP="00225815">
                <w:pPr>
                  <w:jc w:val="center"/>
                  <w:rPr>
                    <w:sz w:val="21"/>
                    <w:szCs w:val="21"/>
                  </w:rPr>
                </w:pPr>
                <w:r w:rsidRPr="00406EBF">
                  <w:rPr>
                    <w:sz w:val="21"/>
                    <w:szCs w:val="21"/>
                  </w:rPr>
                  <w:t>7</w:t>
                </w:r>
              </w:p>
            </w:tc>
            <w:tc>
              <w:tcPr>
                <w:tcW w:w="1459" w:type="dxa"/>
              </w:tcPr>
              <w:p w14:paraId="29B16A42" w14:textId="77777777" w:rsidR="00B345FB" w:rsidRPr="00406EBF" w:rsidRDefault="00B345FB" w:rsidP="00225815">
                <w:pPr>
                  <w:jc w:val="center"/>
                  <w:rPr>
                    <w:sz w:val="21"/>
                    <w:szCs w:val="21"/>
                  </w:rPr>
                </w:pPr>
                <w:r w:rsidRPr="00406EBF">
                  <w:rPr>
                    <w:sz w:val="21"/>
                    <w:szCs w:val="21"/>
                  </w:rPr>
                  <w:t>3</w:t>
                </w:r>
              </w:p>
            </w:tc>
            <w:tc>
              <w:tcPr>
                <w:tcW w:w="1396" w:type="dxa"/>
              </w:tcPr>
              <w:p w14:paraId="16462B23" w14:textId="77777777" w:rsidR="00B345FB" w:rsidRPr="00406EBF" w:rsidRDefault="00B345FB" w:rsidP="00225815">
                <w:pPr>
                  <w:jc w:val="center"/>
                  <w:rPr>
                    <w:sz w:val="21"/>
                    <w:szCs w:val="21"/>
                  </w:rPr>
                </w:pPr>
                <w:r w:rsidRPr="00406EBF">
                  <w:rPr>
                    <w:sz w:val="21"/>
                    <w:szCs w:val="21"/>
                  </w:rPr>
                  <w:t>40</w:t>
                </w:r>
              </w:p>
            </w:tc>
          </w:tr>
          <w:tr w:rsidR="00B345FB" w:rsidRPr="00406EBF" w14:paraId="2242AD89" w14:textId="77777777" w:rsidTr="00225815">
            <w:tc>
              <w:tcPr>
                <w:tcW w:w="1708" w:type="dxa"/>
                <w:shd w:val="clear" w:color="auto" w:fill="auto"/>
              </w:tcPr>
              <w:p w14:paraId="7E1ECB25" w14:textId="26FF7C1D" w:rsidR="00B345FB" w:rsidRPr="00406EBF" w:rsidRDefault="00B345FB" w:rsidP="00225815">
                <w:pPr>
                  <w:rPr>
                    <w:b/>
                    <w:sz w:val="21"/>
                    <w:szCs w:val="21"/>
                  </w:rPr>
                </w:pPr>
                <w:r w:rsidRPr="00406EBF">
                  <w:rPr>
                    <w:b/>
                    <w:sz w:val="21"/>
                    <w:szCs w:val="21"/>
                  </w:rPr>
                  <w:t>Nombre total de plaintes</w:t>
                </w:r>
                <w:r w:rsidR="00E803D2">
                  <w:rPr>
                    <w:b/>
                    <w:sz w:val="21"/>
                    <w:szCs w:val="21"/>
                  </w:rPr>
                  <w:t xml:space="preserve"> pour tout motif</w:t>
                </w:r>
              </w:p>
            </w:tc>
            <w:tc>
              <w:tcPr>
                <w:tcW w:w="1359" w:type="dxa"/>
              </w:tcPr>
              <w:p w14:paraId="7E644AB7" w14:textId="77777777" w:rsidR="00B345FB" w:rsidRPr="00406EBF" w:rsidRDefault="00B345FB" w:rsidP="00225815">
                <w:pPr>
                  <w:jc w:val="center"/>
                  <w:rPr>
                    <w:sz w:val="21"/>
                    <w:szCs w:val="21"/>
                  </w:rPr>
                </w:pPr>
                <w:r w:rsidRPr="00406EBF">
                  <w:rPr>
                    <w:sz w:val="21"/>
                    <w:szCs w:val="21"/>
                  </w:rPr>
                  <w:t>2885</w:t>
                </w:r>
              </w:p>
            </w:tc>
            <w:tc>
              <w:tcPr>
                <w:tcW w:w="1458" w:type="dxa"/>
              </w:tcPr>
              <w:p w14:paraId="68934D7B" w14:textId="77777777" w:rsidR="00B345FB" w:rsidRPr="00406EBF" w:rsidRDefault="00B345FB" w:rsidP="00225815">
                <w:pPr>
                  <w:jc w:val="center"/>
                  <w:rPr>
                    <w:sz w:val="21"/>
                    <w:szCs w:val="21"/>
                  </w:rPr>
                </w:pPr>
                <w:r w:rsidRPr="00406EBF">
                  <w:rPr>
                    <w:sz w:val="21"/>
                    <w:szCs w:val="21"/>
                  </w:rPr>
                  <w:t>2771</w:t>
                </w:r>
              </w:p>
            </w:tc>
            <w:tc>
              <w:tcPr>
                <w:tcW w:w="1458" w:type="dxa"/>
              </w:tcPr>
              <w:p w14:paraId="76106363" w14:textId="77777777" w:rsidR="00B345FB" w:rsidRPr="00406EBF" w:rsidRDefault="00B345FB" w:rsidP="00225815">
                <w:pPr>
                  <w:jc w:val="center"/>
                  <w:rPr>
                    <w:sz w:val="21"/>
                    <w:szCs w:val="21"/>
                  </w:rPr>
                </w:pPr>
                <w:r w:rsidRPr="00406EBF">
                  <w:rPr>
                    <w:sz w:val="21"/>
                    <w:szCs w:val="21"/>
                  </w:rPr>
                  <w:t>2561</w:t>
                </w:r>
              </w:p>
            </w:tc>
            <w:tc>
              <w:tcPr>
                <w:tcW w:w="1458" w:type="dxa"/>
              </w:tcPr>
              <w:p w14:paraId="6DC1C8E5" w14:textId="77777777" w:rsidR="00B345FB" w:rsidRPr="00406EBF" w:rsidRDefault="00B345FB" w:rsidP="00225815">
                <w:pPr>
                  <w:jc w:val="center"/>
                  <w:rPr>
                    <w:sz w:val="21"/>
                    <w:szCs w:val="21"/>
                  </w:rPr>
                </w:pPr>
                <w:r w:rsidRPr="00406EBF">
                  <w:rPr>
                    <w:sz w:val="21"/>
                    <w:szCs w:val="21"/>
                  </w:rPr>
                  <w:t>2663</w:t>
                </w:r>
              </w:p>
            </w:tc>
            <w:tc>
              <w:tcPr>
                <w:tcW w:w="1459" w:type="dxa"/>
              </w:tcPr>
              <w:p w14:paraId="3E44E3D1" w14:textId="77777777" w:rsidR="00B345FB" w:rsidRPr="00406EBF" w:rsidRDefault="00B345FB" w:rsidP="00225815">
                <w:pPr>
                  <w:jc w:val="center"/>
                  <w:rPr>
                    <w:sz w:val="21"/>
                    <w:szCs w:val="21"/>
                  </w:rPr>
                </w:pPr>
                <w:r w:rsidRPr="00406EBF">
                  <w:rPr>
                    <w:sz w:val="21"/>
                    <w:szCs w:val="21"/>
                  </w:rPr>
                  <w:t>2733</w:t>
                </w:r>
              </w:p>
            </w:tc>
            <w:tc>
              <w:tcPr>
                <w:tcW w:w="1396" w:type="dxa"/>
              </w:tcPr>
              <w:p w14:paraId="73E48EAE" w14:textId="77777777" w:rsidR="00B345FB" w:rsidRPr="00406EBF" w:rsidRDefault="00B345FB" w:rsidP="00225815">
                <w:pPr>
                  <w:jc w:val="center"/>
                  <w:rPr>
                    <w:sz w:val="21"/>
                    <w:szCs w:val="21"/>
                  </w:rPr>
                </w:pPr>
              </w:p>
            </w:tc>
          </w:tr>
          <w:tr w:rsidR="00B345FB" w:rsidRPr="00406EBF" w14:paraId="422569C1" w14:textId="77777777" w:rsidTr="00225815">
            <w:tc>
              <w:tcPr>
                <w:tcW w:w="1708" w:type="dxa"/>
                <w:shd w:val="clear" w:color="auto" w:fill="auto"/>
              </w:tcPr>
              <w:p w14:paraId="73083237" w14:textId="77777777" w:rsidR="00B345FB" w:rsidRPr="00406EBF" w:rsidRDefault="00B345FB" w:rsidP="00225815">
                <w:pPr>
                  <w:rPr>
                    <w:b/>
                    <w:sz w:val="21"/>
                    <w:szCs w:val="21"/>
                  </w:rPr>
                </w:pPr>
                <w:r w:rsidRPr="00406EBF">
                  <w:rPr>
                    <w:b/>
                    <w:sz w:val="21"/>
                    <w:szCs w:val="21"/>
                  </w:rPr>
                  <w:t>Orientations :</w:t>
                </w:r>
              </w:p>
            </w:tc>
            <w:tc>
              <w:tcPr>
                <w:tcW w:w="8588" w:type="dxa"/>
                <w:gridSpan w:val="6"/>
              </w:tcPr>
              <w:p w14:paraId="1C7B52D5" w14:textId="77777777" w:rsidR="00B345FB" w:rsidRPr="00406EBF" w:rsidRDefault="00B345FB" w:rsidP="00225815">
                <w:pPr>
                  <w:jc w:val="center"/>
                  <w:rPr>
                    <w:sz w:val="21"/>
                    <w:szCs w:val="21"/>
                  </w:rPr>
                </w:pPr>
              </w:p>
            </w:tc>
          </w:tr>
          <w:tr w:rsidR="00B345FB" w:rsidRPr="00406EBF" w14:paraId="358843BB" w14:textId="77777777" w:rsidTr="00225815">
            <w:tc>
              <w:tcPr>
                <w:tcW w:w="1708" w:type="dxa"/>
                <w:shd w:val="clear" w:color="auto" w:fill="auto"/>
              </w:tcPr>
              <w:p w14:paraId="3056E9AE" w14:textId="77777777" w:rsidR="00B345FB" w:rsidRPr="00406EBF" w:rsidRDefault="00B345FB" w:rsidP="00225815">
                <w:pPr>
                  <w:rPr>
                    <w:sz w:val="21"/>
                    <w:szCs w:val="21"/>
                    <w:lang w:val="fr-BE"/>
                  </w:rPr>
                </w:pPr>
                <w:r w:rsidRPr="00406EBF">
                  <w:rPr>
                    <w:sz w:val="21"/>
                    <w:szCs w:val="21"/>
                    <w:lang w:val="fr-BE"/>
                  </w:rPr>
                  <w:t>Classement sans suite/ incompétence rationae materiae</w:t>
                </w:r>
              </w:p>
            </w:tc>
            <w:tc>
              <w:tcPr>
                <w:tcW w:w="1359" w:type="dxa"/>
              </w:tcPr>
              <w:p w14:paraId="114F8684" w14:textId="77777777" w:rsidR="00B345FB" w:rsidRPr="00406EBF" w:rsidRDefault="00B345FB" w:rsidP="00225815">
                <w:pPr>
                  <w:jc w:val="center"/>
                  <w:rPr>
                    <w:sz w:val="21"/>
                    <w:szCs w:val="21"/>
                  </w:rPr>
                </w:pPr>
                <w:r w:rsidRPr="00406EBF">
                  <w:rPr>
                    <w:sz w:val="21"/>
                    <w:szCs w:val="21"/>
                  </w:rPr>
                  <w:t>3</w:t>
                </w:r>
              </w:p>
            </w:tc>
            <w:tc>
              <w:tcPr>
                <w:tcW w:w="1458" w:type="dxa"/>
              </w:tcPr>
              <w:p w14:paraId="32E82250" w14:textId="77777777" w:rsidR="00B345FB" w:rsidRPr="00406EBF" w:rsidRDefault="00B345FB" w:rsidP="00225815">
                <w:pPr>
                  <w:jc w:val="center"/>
                  <w:rPr>
                    <w:sz w:val="21"/>
                    <w:szCs w:val="21"/>
                  </w:rPr>
                </w:pPr>
                <w:r w:rsidRPr="00406EBF">
                  <w:rPr>
                    <w:sz w:val="21"/>
                    <w:szCs w:val="21"/>
                  </w:rPr>
                  <w:t>2</w:t>
                </w:r>
              </w:p>
            </w:tc>
            <w:tc>
              <w:tcPr>
                <w:tcW w:w="1458" w:type="dxa"/>
              </w:tcPr>
              <w:p w14:paraId="0E791EEC" w14:textId="77777777" w:rsidR="00B345FB" w:rsidRPr="00406EBF" w:rsidRDefault="00B345FB" w:rsidP="00225815">
                <w:pPr>
                  <w:jc w:val="center"/>
                  <w:rPr>
                    <w:sz w:val="21"/>
                    <w:szCs w:val="21"/>
                  </w:rPr>
                </w:pPr>
                <w:r w:rsidRPr="00406EBF">
                  <w:rPr>
                    <w:sz w:val="21"/>
                    <w:szCs w:val="21"/>
                  </w:rPr>
                  <w:t>1</w:t>
                </w:r>
              </w:p>
            </w:tc>
            <w:tc>
              <w:tcPr>
                <w:tcW w:w="1458" w:type="dxa"/>
              </w:tcPr>
              <w:p w14:paraId="57A3FEA0" w14:textId="77777777" w:rsidR="00B345FB" w:rsidRPr="00406EBF" w:rsidRDefault="00B345FB" w:rsidP="00225815">
                <w:pPr>
                  <w:jc w:val="center"/>
                  <w:rPr>
                    <w:sz w:val="21"/>
                    <w:szCs w:val="21"/>
                  </w:rPr>
                </w:pPr>
                <w:r w:rsidRPr="00406EBF">
                  <w:rPr>
                    <w:sz w:val="21"/>
                    <w:szCs w:val="21"/>
                  </w:rPr>
                  <w:t>1</w:t>
                </w:r>
              </w:p>
            </w:tc>
            <w:tc>
              <w:tcPr>
                <w:tcW w:w="1459" w:type="dxa"/>
              </w:tcPr>
              <w:p w14:paraId="496C377C" w14:textId="77777777" w:rsidR="00B345FB" w:rsidRPr="00406EBF" w:rsidRDefault="00B345FB" w:rsidP="00225815">
                <w:pPr>
                  <w:jc w:val="center"/>
                  <w:rPr>
                    <w:sz w:val="21"/>
                    <w:szCs w:val="21"/>
                  </w:rPr>
                </w:pPr>
                <w:r w:rsidRPr="00406EBF">
                  <w:rPr>
                    <w:sz w:val="21"/>
                    <w:szCs w:val="21"/>
                  </w:rPr>
                  <w:t>0</w:t>
                </w:r>
              </w:p>
            </w:tc>
            <w:tc>
              <w:tcPr>
                <w:tcW w:w="1396" w:type="dxa"/>
              </w:tcPr>
              <w:p w14:paraId="57997772" w14:textId="77777777" w:rsidR="00B345FB" w:rsidRPr="00406EBF" w:rsidRDefault="00B345FB" w:rsidP="00225815">
                <w:pPr>
                  <w:jc w:val="center"/>
                  <w:rPr>
                    <w:sz w:val="21"/>
                    <w:szCs w:val="21"/>
                  </w:rPr>
                </w:pPr>
                <w:r w:rsidRPr="00406EBF">
                  <w:rPr>
                    <w:sz w:val="21"/>
                    <w:szCs w:val="21"/>
                  </w:rPr>
                  <w:t>7</w:t>
                </w:r>
              </w:p>
            </w:tc>
          </w:tr>
          <w:tr w:rsidR="00B345FB" w:rsidRPr="00406EBF" w14:paraId="43DB3659" w14:textId="77777777" w:rsidTr="00225815">
            <w:tc>
              <w:tcPr>
                <w:tcW w:w="1708" w:type="dxa"/>
                <w:shd w:val="clear" w:color="auto" w:fill="auto"/>
              </w:tcPr>
              <w:p w14:paraId="479B2550" w14:textId="77777777" w:rsidR="00B345FB" w:rsidRPr="00406EBF" w:rsidRDefault="00B345FB" w:rsidP="00225815">
                <w:pPr>
                  <w:rPr>
                    <w:sz w:val="21"/>
                    <w:szCs w:val="21"/>
                  </w:rPr>
                </w:pPr>
                <w:r w:rsidRPr="00406EBF">
                  <w:rPr>
                    <w:sz w:val="21"/>
                    <w:szCs w:val="21"/>
                  </w:rPr>
                  <w:t>Parquet</w:t>
                </w:r>
              </w:p>
            </w:tc>
            <w:tc>
              <w:tcPr>
                <w:tcW w:w="1359" w:type="dxa"/>
              </w:tcPr>
              <w:p w14:paraId="25F359BD" w14:textId="77777777" w:rsidR="00B345FB" w:rsidRPr="00406EBF" w:rsidRDefault="00B345FB" w:rsidP="00225815">
                <w:pPr>
                  <w:jc w:val="center"/>
                  <w:rPr>
                    <w:sz w:val="21"/>
                    <w:szCs w:val="21"/>
                  </w:rPr>
                </w:pPr>
                <w:r w:rsidRPr="00406EBF">
                  <w:rPr>
                    <w:sz w:val="21"/>
                    <w:szCs w:val="21"/>
                  </w:rPr>
                  <w:t>1</w:t>
                </w:r>
              </w:p>
            </w:tc>
            <w:tc>
              <w:tcPr>
                <w:tcW w:w="1458" w:type="dxa"/>
              </w:tcPr>
              <w:p w14:paraId="03C65BD0" w14:textId="77777777" w:rsidR="00B345FB" w:rsidRPr="00406EBF" w:rsidRDefault="00B345FB" w:rsidP="00225815">
                <w:pPr>
                  <w:jc w:val="center"/>
                  <w:rPr>
                    <w:sz w:val="21"/>
                    <w:szCs w:val="21"/>
                  </w:rPr>
                </w:pPr>
                <w:r w:rsidRPr="00406EBF">
                  <w:rPr>
                    <w:sz w:val="21"/>
                    <w:szCs w:val="21"/>
                  </w:rPr>
                  <w:t>2</w:t>
                </w:r>
              </w:p>
            </w:tc>
            <w:tc>
              <w:tcPr>
                <w:tcW w:w="1458" w:type="dxa"/>
              </w:tcPr>
              <w:p w14:paraId="6BBCFE38" w14:textId="77777777" w:rsidR="00B345FB" w:rsidRPr="00406EBF" w:rsidRDefault="00B345FB" w:rsidP="00225815">
                <w:pPr>
                  <w:jc w:val="center"/>
                  <w:rPr>
                    <w:sz w:val="21"/>
                    <w:szCs w:val="21"/>
                  </w:rPr>
                </w:pPr>
                <w:r w:rsidRPr="00406EBF">
                  <w:rPr>
                    <w:sz w:val="21"/>
                    <w:szCs w:val="21"/>
                  </w:rPr>
                  <w:t>2</w:t>
                </w:r>
              </w:p>
            </w:tc>
            <w:tc>
              <w:tcPr>
                <w:tcW w:w="1458" w:type="dxa"/>
              </w:tcPr>
              <w:p w14:paraId="4C71AB5F" w14:textId="77777777" w:rsidR="00B345FB" w:rsidRPr="00406EBF" w:rsidRDefault="00B345FB" w:rsidP="00225815">
                <w:pPr>
                  <w:jc w:val="center"/>
                  <w:rPr>
                    <w:sz w:val="21"/>
                    <w:szCs w:val="21"/>
                  </w:rPr>
                </w:pPr>
                <w:r w:rsidRPr="00406EBF">
                  <w:rPr>
                    <w:sz w:val="21"/>
                    <w:szCs w:val="21"/>
                  </w:rPr>
                  <w:t>2</w:t>
                </w:r>
              </w:p>
            </w:tc>
            <w:tc>
              <w:tcPr>
                <w:tcW w:w="1459" w:type="dxa"/>
              </w:tcPr>
              <w:p w14:paraId="3FC82D42" w14:textId="77777777" w:rsidR="00B345FB" w:rsidRPr="00406EBF" w:rsidRDefault="00B345FB" w:rsidP="00225815">
                <w:pPr>
                  <w:jc w:val="center"/>
                  <w:rPr>
                    <w:sz w:val="21"/>
                    <w:szCs w:val="21"/>
                  </w:rPr>
                </w:pPr>
                <w:r w:rsidRPr="00406EBF">
                  <w:rPr>
                    <w:sz w:val="21"/>
                    <w:szCs w:val="21"/>
                  </w:rPr>
                  <w:t>0</w:t>
                </w:r>
              </w:p>
            </w:tc>
            <w:tc>
              <w:tcPr>
                <w:tcW w:w="1396" w:type="dxa"/>
              </w:tcPr>
              <w:p w14:paraId="7D7D1D55" w14:textId="77777777" w:rsidR="00B345FB" w:rsidRPr="00406EBF" w:rsidRDefault="00B345FB" w:rsidP="00225815">
                <w:pPr>
                  <w:jc w:val="center"/>
                  <w:rPr>
                    <w:sz w:val="21"/>
                    <w:szCs w:val="21"/>
                  </w:rPr>
                </w:pPr>
                <w:r w:rsidRPr="00406EBF">
                  <w:rPr>
                    <w:sz w:val="21"/>
                    <w:szCs w:val="21"/>
                  </w:rPr>
                  <w:t>7</w:t>
                </w:r>
              </w:p>
            </w:tc>
          </w:tr>
          <w:tr w:rsidR="00B345FB" w:rsidRPr="00406EBF" w14:paraId="5BD45B7D" w14:textId="77777777" w:rsidTr="00225815">
            <w:tc>
              <w:tcPr>
                <w:tcW w:w="1708" w:type="dxa"/>
                <w:shd w:val="clear" w:color="auto" w:fill="auto"/>
              </w:tcPr>
              <w:p w14:paraId="4BC0C089" w14:textId="77777777" w:rsidR="00B345FB" w:rsidRPr="00406EBF" w:rsidRDefault="00B345FB" w:rsidP="00225815">
                <w:pPr>
                  <w:rPr>
                    <w:sz w:val="21"/>
                    <w:szCs w:val="21"/>
                  </w:rPr>
                </w:pPr>
                <w:r w:rsidRPr="00406EBF">
                  <w:rPr>
                    <w:sz w:val="21"/>
                    <w:szCs w:val="21"/>
                  </w:rPr>
                  <w:t xml:space="preserve">Corps de police </w:t>
                </w:r>
              </w:p>
            </w:tc>
            <w:tc>
              <w:tcPr>
                <w:tcW w:w="1359" w:type="dxa"/>
              </w:tcPr>
              <w:p w14:paraId="3CA71732" w14:textId="77777777" w:rsidR="00B345FB" w:rsidRPr="00406EBF" w:rsidRDefault="00B345FB" w:rsidP="00225815">
                <w:pPr>
                  <w:jc w:val="center"/>
                  <w:rPr>
                    <w:sz w:val="21"/>
                    <w:szCs w:val="21"/>
                  </w:rPr>
                </w:pPr>
                <w:r w:rsidRPr="00406EBF">
                  <w:rPr>
                    <w:sz w:val="21"/>
                    <w:szCs w:val="21"/>
                  </w:rPr>
                  <w:t>3</w:t>
                </w:r>
              </w:p>
            </w:tc>
            <w:tc>
              <w:tcPr>
                <w:tcW w:w="1458" w:type="dxa"/>
              </w:tcPr>
              <w:p w14:paraId="7131A151" w14:textId="77777777" w:rsidR="00B345FB" w:rsidRPr="00406EBF" w:rsidRDefault="00B345FB" w:rsidP="00225815">
                <w:pPr>
                  <w:jc w:val="center"/>
                  <w:rPr>
                    <w:sz w:val="21"/>
                    <w:szCs w:val="21"/>
                  </w:rPr>
                </w:pPr>
                <w:r w:rsidRPr="00406EBF">
                  <w:rPr>
                    <w:sz w:val="21"/>
                    <w:szCs w:val="21"/>
                  </w:rPr>
                  <w:t>4</w:t>
                </w:r>
              </w:p>
            </w:tc>
            <w:tc>
              <w:tcPr>
                <w:tcW w:w="1458" w:type="dxa"/>
              </w:tcPr>
              <w:p w14:paraId="18069D8F" w14:textId="77777777" w:rsidR="00B345FB" w:rsidRPr="00406EBF" w:rsidRDefault="00B345FB" w:rsidP="00225815">
                <w:pPr>
                  <w:jc w:val="center"/>
                  <w:rPr>
                    <w:sz w:val="21"/>
                    <w:szCs w:val="21"/>
                  </w:rPr>
                </w:pPr>
                <w:r w:rsidRPr="00406EBF">
                  <w:rPr>
                    <w:sz w:val="21"/>
                    <w:szCs w:val="21"/>
                  </w:rPr>
                  <w:t>5</w:t>
                </w:r>
              </w:p>
            </w:tc>
            <w:tc>
              <w:tcPr>
                <w:tcW w:w="1458" w:type="dxa"/>
              </w:tcPr>
              <w:p w14:paraId="50D7379D" w14:textId="77777777" w:rsidR="00B345FB" w:rsidRPr="00406EBF" w:rsidRDefault="00B345FB" w:rsidP="00225815">
                <w:pPr>
                  <w:jc w:val="center"/>
                  <w:rPr>
                    <w:sz w:val="21"/>
                    <w:szCs w:val="21"/>
                  </w:rPr>
                </w:pPr>
                <w:r w:rsidRPr="00406EBF">
                  <w:rPr>
                    <w:sz w:val="21"/>
                    <w:szCs w:val="21"/>
                  </w:rPr>
                  <w:t>4</w:t>
                </w:r>
              </w:p>
            </w:tc>
            <w:tc>
              <w:tcPr>
                <w:tcW w:w="1459" w:type="dxa"/>
              </w:tcPr>
              <w:p w14:paraId="6B7D5281" w14:textId="77777777" w:rsidR="00B345FB" w:rsidRPr="00406EBF" w:rsidRDefault="00B345FB" w:rsidP="00225815">
                <w:pPr>
                  <w:jc w:val="center"/>
                  <w:rPr>
                    <w:sz w:val="21"/>
                    <w:szCs w:val="21"/>
                  </w:rPr>
                </w:pPr>
                <w:r w:rsidRPr="00406EBF">
                  <w:rPr>
                    <w:sz w:val="21"/>
                    <w:szCs w:val="21"/>
                  </w:rPr>
                  <w:t>3</w:t>
                </w:r>
              </w:p>
            </w:tc>
            <w:tc>
              <w:tcPr>
                <w:tcW w:w="1396" w:type="dxa"/>
              </w:tcPr>
              <w:p w14:paraId="41D32236" w14:textId="77777777" w:rsidR="00B345FB" w:rsidRPr="00406EBF" w:rsidRDefault="00B345FB" w:rsidP="00225815">
                <w:pPr>
                  <w:jc w:val="center"/>
                  <w:rPr>
                    <w:sz w:val="21"/>
                    <w:szCs w:val="21"/>
                  </w:rPr>
                </w:pPr>
                <w:r w:rsidRPr="00406EBF">
                  <w:rPr>
                    <w:sz w:val="21"/>
                    <w:szCs w:val="21"/>
                  </w:rPr>
                  <w:t>19</w:t>
                </w:r>
              </w:p>
            </w:tc>
          </w:tr>
          <w:tr w:rsidR="00B345FB" w:rsidRPr="00406EBF" w14:paraId="64E17438" w14:textId="77777777" w:rsidTr="00225815">
            <w:tc>
              <w:tcPr>
                <w:tcW w:w="1708" w:type="dxa"/>
                <w:shd w:val="clear" w:color="auto" w:fill="auto"/>
              </w:tcPr>
              <w:p w14:paraId="7CC6BD7F" w14:textId="77777777" w:rsidR="00B345FB" w:rsidRPr="00406EBF" w:rsidRDefault="00B345FB" w:rsidP="00225815">
                <w:pPr>
                  <w:rPr>
                    <w:sz w:val="21"/>
                    <w:szCs w:val="21"/>
                  </w:rPr>
                </w:pPr>
                <w:r w:rsidRPr="00406EBF">
                  <w:rPr>
                    <w:sz w:val="21"/>
                    <w:szCs w:val="21"/>
                  </w:rPr>
                  <w:t>Service d’enquêtes P</w:t>
                </w:r>
              </w:p>
            </w:tc>
            <w:tc>
              <w:tcPr>
                <w:tcW w:w="1359" w:type="dxa"/>
              </w:tcPr>
              <w:p w14:paraId="6F60B156" w14:textId="77777777" w:rsidR="00B345FB" w:rsidRPr="00406EBF" w:rsidRDefault="00B345FB" w:rsidP="00225815">
                <w:pPr>
                  <w:jc w:val="center"/>
                  <w:rPr>
                    <w:sz w:val="21"/>
                    <w:szCs w:val="21"/>
                  </w:rPr>
                </w:pPr>
                <w:r w:rsidRPr="00406EBF">
                  <w:rPr>
                    <w:sz w:val="21"/>
                    <w:szCs w:val="21"/>
                  </w:rPr>
                  <w:t>3</w:t>
                </w:r>
              </w:p>
            </w:tc>
            <w:tc>
              <w:tcPr>
                <w:tcW w:w="1458" w:type="dxa"/>
              </w:tcPr>
              <w:p w14:paraId="6B80285A" w14:textId="77777777" w:rsidR="00B345FB" w:rsidRPr="00406EBF" w:rsidRDefault="00B345FB" w:rsidP="00225815">
                <w:pPr>
                  <w:jc w:val="center"/>
                  <w:rPr>
                    <w:sz w:val="21"/>
                    <w:szCs w:val="21"/>
                  </w:rPr>
                </w:pPr>
                <w:r w:rsidRPr="00406EBF">
                  <w:rPr>
                    <w:sz w:val="21"/>
                    <w:szCs w:val="21"/>
                  </w:rPr>
                  <w:t>6</w:t>
                </w:r>
              </w:p>
            </w:tc>
            <w:tc>
              <w:tcPr>
                <w:tcW w:w="1458" w:type="dxa"/>
              </w:tcPr>
              <w:p w14:paraId="2E98E521" w14:textId="77777777" w:rsidR="00B345FB" w:rsidRPr="00406EBF" w:rsidRDefault="00B345FB" w:rsidP="00225815">
                <w:pPr>
                  <w:jc w:val="center"/>
                  <w:rPr>
                    <w:sz w:val="21"/>
                    <w:szCs w:val="21"/>
                  </w:rPr>
                </w:pPr>
                <w:r w:rsidRPr="00406EBF">
                  <w:rPr>
                    <w:sz w:val="21"/>
                    <w:szCs w:val="21"/>
                  </w:rPr>
                  <w:t>4</w:t>
                </w:r>
              </w:p>
            </w:tc>
            <w:tc>
              <w:tcPr>
                <w:tcW w:w="1458" w:type="dxa"/>
              </w:tcPr>
              <w:p w14:paraId="3A9AF423" w14:textId="77777777" w:rsidR="00B345FB" w:rsidRPr="00406EBF" w:rsidRDefault="00B345FB" w:rsidP="00225815">
                <w:pPr>
                  <w:jc w:val="center"/>
                  <w:rPr>
                    <w:sz w:val="21"/>
                    <w:szCs w:val="21"/>
                  </w:rPr>
                </w:pPr>
                <w:r w:rsidRPr="00406EBF">
                  <w:rPr>
                    <w:sz w:val="21"/>
                    <w:szCs w:val="21"/>
                  </w:rPr>
                  <w:t>3</w:t>
                </w:r>
              </w:p>
            </w:tc>
            <w:tc>
              <w:tcPr>
                <w:tcW w:w="1459" w:type="dxa"/>
              </w:tcPr>
              <w:p w14:paraId="6594B1B0" w14:textId="77777777" w:rsidR="00B345FB" w:rsidRPr="00406EBF" w:rsidRDefault="00B345FB" w:rsidP="00225815">
                <w:pPr>
                  <w:jc w:val="center"/>
                  <w:rPr>
                    <w:sz w:val="21"/>
                    <w:szCs w:val="21"/>
                  </w:rPr>
                </w:pPr>
                <w:r w:rsidRPr="00406EBF">
                  <w:rPr>
                    <w:sz w:val="21"/>
                    <w:szCs w:val="21"/>
                  </w:rPr>
                  <w:t>0</w:t>
                </w:r>
              </w:p>
            </w:tc>
            <w:tc>
              <w:tcPr>
                <w:tcW w:w="1396" w:type="dxa"/>
              </w:tcPr>
              <w:p w14:paraId="14719803" w14:textId="77777777" w:rsidR="00B345FB" w:rsidRPr="00406EBF" w:rsidRDefault="00B345FB" w:rsidP="00225815">
                <w:pPr>
                  <w:jc w:val="center"/>
                  <w:rPr>
                    <w:sz w:val="21"/>
                    <w:szCs w:val="21"/>
                  </w:rPr>
                </w:pPr>
                <w:r w:rsidRPr="00406EBF">
                  <w:rPr>
                    <w:sz w:val="21"/>
                    <w:szCs w:val="21"/>
                  </w:rPr>
                  <w:t>16</w:t>
                </w:r>
              </w:p>
            </w:tc>
          </w:tr>
        </w:tbl>
        <w:p w14:paraId="38346CF9" w14:textId="77777777" w:rsidR="00B345FB" w:rsidRPr="00406EBF" w:rsidRDefault="00B345FB" w:rsidP="00B345FB">
          <w:pPr>
            <w:tabs>
              <w:tab w:val="left" w:pos="709"/>
            </w:tabs>
            <w:spacing w:line="240" w:lineRule="auto"/>
            <w:jc w:val="both"/>
            <w:rPr>
              <w:rFonts w:cstheme="minorHAnsi"/>
              <w:sz w:val="23"/>
              <w:szCs w:val="23"/>
            </w:rPr>
          </w:pPr>
        </w:p>
        <w:p w14:paraId="4E45641F" w14:textId="77777777" w:rsidR="00B345FB" w:rsidRPr="00406EBF" w:rsidRDefault="00B345FB" w:rsidP="00AE367F">
          <w:pPr>
            <w:spacing w:line="240" w:lineRule="auto"/>
            <w:jc w:val="both"/>
            <w:rPr>
              <w:rFonts w:cstheme="minorHAnsi"/>
              <w:sz w:val="23"/>
              <w:szCs w:val="23"/>
              <w:lang w:val="fr-BE"/>
            </w:rPr>
          </w:pPr>
          <w:r w:rsidRPr="00406EBF">
            <w:rPr>
              <w:rFonts w:cstheme="minorHAnsi"/>
              <w:b/>
              <w:sz w:val="23"/>
              <w:szCs w:val="23"/>
              <w:u w:val="single"/>
              <w:lang w:val="fr-BE"/>
            </w:rPr>
            <w:t>Tableau 3 :</w:t>
          </w:r>
          <w:r w:rsidRPr="00406EBF">
            <w:rPr>
              <w:rFonts w:cstheme="minorHAnsi"/>
              <w:b/>
              <w:sz w:val="23"/>
              <w:szCs w:val="23"/>
              <w:lang w:val="fr-BE"/>
            </w:rPr>
            <w:t xml:space="preserve"> Nombre d’enquêtes judiciaires confiées au Service d’enquêtes P </w:t>
          </w:r>
          <w:r w:rsidR="00AE367F" w:rsidRPr="00406EBF">
            <w:rPr>
              <w:rFonts w:cstheme="minorHAnsi"/>
              <w:b/>
              <w:sz w:val="23"/>
              <w:szCs w:val="23"/>
              <w:lang w:val="fr-BE"/>
            </w:rPr>
            <w:t xml:space="preserve">visant des </w:t>
          </w:r>
          <w:r w:rsidRPr="00406EBF">
            <w:rPr>
              <w:rFonts w:cstheme="minorHAnsi"/>
              <w:b/>
              <w:sz w:val="23"/>
              <w:szCs w:val="23"/>
              <w:lang w:val="fr-BE"/>
            </w:rPr>
            <w:t>policiers pour des faits de corruption pour la période 2013 – 2017</w:t>
          </w:r>
        </w:p>
        <w:p w14:paraId="571EE708" w14:textId="77777777" w:rsidR="00B345FB" w:rsidRPr="00406EBF" w:rsidRDefault="00B345FB" w:rsidP="00B345FB">
          <w:pPr>
            <w:rPr>
              <w:rFonts w:cstheme="minorHAnsi"/>
              <w:b/>
              <w:sz w:val="21"/>
              <w:szCs w:val="21"/>
              <w:lang w:val="fr-BE"/>
            </w:rPr>
          </w:pPr>
        </w:p>
        <w:tbl>
          <w:tblPr>
            <w:tblStyle w:val="Grilledutableau"/>
            <w:tblW w:w="0" w:type="auto"/>
            <w:tblLook w:val="04A0" w:firstRow="1" w:lastRow="0" w:firstColumn="1" w:lastColumn="0" w:noHBand="0" w:noVBand="1"/>
          </w:tblPr>
          <w:tblGrid>
            <w:gridCol w:w="1703"/>
            <w:gridCol w:w="1389"/>
            <w:gridCol w:w="1492"/>
            <w:gridCol w:w="1492"/>
            <w:gridCol w:w="1492"/>
            <w:gridCol w:w="1492"/>
          </w:tblGrid>
          <w:tr w:rsidR="00B345FB" w:rsidRPr="00406EBF" w14:paraId="046BC325" w14:textId="77777777" w:rsidTr="00225815">
            <w:tc>
              <w:tcPr>
                <w:tcW w:w="1740" w:type="dxa"/>
                <w:tcBorders>
                  <w:right w:val="single" w:sz="4" w:space="0" w:color="auto"/>
                </w:tcBorders>
                <w:shd w:val="clear" w:color="auto" w:fill="8DB3E2" w:themeFill="text2" w:themeFillTint="66"/>
              </w:tcPr>
              <w:p w14:paraId="5791FBB7" w14:textId="77777777" w:rsidR="00B345FB" w:rsidRPr="00406EBF" w:rsidRDefault="00B345FB" w:rsidP="00225815">
                <w:pPr>
                  <w:rPr>
                    <w:b/>
                    <w:sz w:val="21"/>
                    <w:szCs w:val="21"/>
                  </w:rPr>
                </w:pPr>
                <w:r w:rsidRPr="00406EBF">
                  <w:rPr>
                    <w:b/>
                    <w:sz w:val="21"/>
                    <w:szCs w:val="21"/>
                  </w:rPr>
                  <w:t>CORRUPTION</w:t>
                </w:r>
              </w:p>
            </w:tc>
            <w:tc>
              <w:tcPr>
                <w:tcW w:w="1475" w:type="dxa"/>
                <w:tcBorders>
                  <w:top w:val="single" w:sz="4" w:space="0" w:color="auto"/>
                  <w:left w:val="single" w:sz="4" w:space="0" w:color="auto"/>
                  <w:bottom w:val="single" w:sz="4" w:space="0" w:color="auto"/>
                </w:tcBorders>
                <w:shd w:val="clear" w:color="auto" w:fill="000080"/>
              </w:tcPr>
              <w:p w14:paraId="16728535"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2013</w:t>
                </w:r>
              </w:p>
            </w:tc>
            <w:tc>
              <w:tcPr>
                <w:tcW w:w="1590" w:type="dxa"/>
                <w:tcBorders>
                  <w:top w:val="single" w:sz="4" w:space="0" w:color="auto"/>
                  <w:bottom w:val="single" w:sz="4" w:space="0" w:color="auto"/>
                </w:tcBorders>
                <w:shd w:val="clear" w:color="auto" w:fill="000080"/>
              </w:tcPr>
              <w:p w14:paraId="426D010B"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2014</w:t>
                </w:r>
              </w:p>
              <w:p w14:paraId="6ACDE513" w14:textId="77777777" w:rsidR="00B345FB" w:rsidRPr="00406EBF" w:rsidRDefault="00B345FB" w:rsidP="00225815">
                <w:pPr>
                  <w:jc w:val="center"/>
                  <w:rPr>
                    <w:b/>
                    <w:color w:val="FFFFFF" w:themeColor="background1"/>
                    <w:sz w:val="21"/>
                    <w:szCs w:val="21"/>
                  </w:rPr>
                </w:pPr>
              </w:p>
            </w:tc>
            <w:tc>
              <w:tcPr>
                <w:tcW w:w="1590" w:type="dxa"/>
                <w:tcBorders>
                  <w:top w:val="single" w:sz="4" w:space="0" w:color="auto"/>
                  <w:bottom w:val="single" w:sz="4" w:space="0" w:color="auto"/>
                </w:tcBorders>
                <w:shd w:val="clear" w:color="auto" w:fill="000080"/>
              </w:tcPr>
              <w:p w14:paraId="77DA012F"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2015</w:t>
                </w:r>
              </w:p>
              <w:p w14:paraId="016C6EE0" w14:textId="77777777" w:rsidR="00B345FB" w:rsidRPr="00406EBF" w:rsidRDefault="00B345FB" w:rsidP="00225815">
                <w:pPr>
                  <w:jc w:val="center"/>
                  <w:rPr>
                    <w:b/>
                    <w:color w:val="FFFFFF" w:themeColor="background1"/>
                    <w:sz w:val="21"/>
                    <w:szCs w:val="21"/>
                  </w:rPr>
                </w:pPr>
              </w:p>
            </w:tc>
            <w:tc>
              <w:tcPr>
                <w:tcW w:w="1590" w:type="dxa"/>
                <w:tcBorders>
                  <w:top w:val="single" w:sz="4" w:space="0" w:color="auto"/>
                  <w:bottom w:val="single" w:sz="4" w:space="0" w:color="auto"/>
                </w:tcBorders>
                <w:shd w:val="clear" w:color="auto" w:fill="000080"/>
              </w:tcPr>
              <w:p w14:paraId="37E63229"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2016</w:t>
                </w:r>
              </w:p>
              <w:p w14:paraId="151F1DE0" w14:textId="77777777" w:rsidR="00B345FB" w:rsidRPr="00406EBF" w:rsidRDefault="00B345FB" w:rsidP="00225815">
                <w:pPr>
                  <w:jc w:val="center"/>
                  <w:rPr>
                    <w:b/>
                    <w:color w:val="FFFFFF" w:themeColor="background1"/>
                    <w:sz w:val="21"/>
                    <w:szCs w:val="21"/>
                  </w:rPr>
                </w:pPr>
              </w:p>
            </w:tc>
            <w:tc>
              <w:tcPr>
                <w:tcW w:w="1591" w:type="dxa"/>
                <w:tcBorders>
                  <w:top w:val="single" w:sz="4" w:space="0" w:color="auto"/>
                  <w:bottom w:val="single" w:sz="4" w:space="0" w:color="auto"/>
                  <w:right w:val="single" w:sz="4" w:space="0" w:color="auto"/>
                </w:tcBorders>
                <w:shd w:val="clear" w:color="auto" w:fill="000080"/>
              </w:tcPr>
              <w:p w14:paraId="65C9C42F" w14:textId="77777777" w:rsidR="00B345FB" w:rsidRPr="00406EBF" w:rsidRDefault="00B345FB" w:rsidP="00225815">
                <w:pPr>
                  <w:jc w:val="center"/>
                  <w:rPr>
                    <w:b/>
                    <w:color w:val="FFFFFF" w:themeColor="background1"/>
                    <w:sz w:val="21"/>
                    <w:szCs w:val="21"/>
                  </w:rPr>
                </w:pPr>
                <w:r w:rsidRPr="00406EBF">
                  <w:rPr>
                    <w:b/>
                    <w:color w:val="FFFFFF" w:themeColor="background1"/>
                    <w:sz w:val="21"/>
                    <w:szCs w:val="21"/>
                  </w:rPr>
                  <w:t>2017</w:t>
                </w:r>
              </w:p>
              <w:p w14:paraId="0878268E" w14:textId="77777777" w:rsidR="00B345FB" w:rsidRPr="00406EBF" w:rsidRDefault="00B345FB" w:rsidP="00225815">
                <w:pPr>
                  <w:jc w:val="center"/>
                  <w:rPr>
                    <w:b/>
                    <w:color w:val="FFFFFF" w:themeColor="background1"/>
                    <w:sz w:val="21"/>
                    <w:szCs w:val="21"/>
                  </w:rPr>
                </w:pPr>
              </w:p>
            </w:tc>
          </w:tr>
          <w:tr w:rsidR="00B345FB" w:rsidRPr="00406EBF" w14:paraId="67FD3EF1" w14:textId="77777777" w:rsidTr="00225815">
            <w:tc>
              <w:tcPr>
                <w:tcW w:w="1740" w:type="dxa"/>
                <w:shd w:val="clear" w:color="auto" w:fill="FFFFFF" w:themeFill="background1"/>
              </w:tcPr>
              <w:p w14:paraId="352A26B4" w14:textId="77777777" w:rsidR="00B345FB" w:rsidRPr="00406EBF" w:rsidRDefault="00B345FB" w:rsidP="00225815">
                <w:pPr>
                  <w:rPr>
                    <w:b/>
                    <w:sz w:val="21"/>
                    <w:szCs w:val="21"/>
                    <w:lang w:val="fr-BE"/>
                  </w:rPr>
                </w:pPr>
                <w:r w:rsidRPr="00406EBF">
                  <w:rPr>
                    <w:b/>
                    <w:sz w:val="21"/>
                    <w:szCs w:val="21"/>
                    <w:lang w:val="fr-BE"/>
                  </w:rPr>
                  <w:t>Nombre d’enquêtes</w:t>
                </w:r>
                <w:r w:rsidR="00AE367F" w:rsidRPr="00406EBF">
                  <w:rPr>
                    <w:b/>
                    <w:sz w:val="21"/>
                    <w:szCs w:val="21"/>
                    <w:lang w:val="fr-BE"/>
                  </w:rPr>
                  <w:t xml:space="preserve"> pour des faits de corruption</w:t>
                </w:r>
              </w:p>
            </w:tc>
            <w:tc>
              <w:tcPr>
                <w:tcW w:w="1475" w:type="dxa"/>
                <w:tcBorders>
                  <w:top w:val="single" w:sz="4" w:space="0" w:color="auto"/>
                </w:tcBorders>
              </w:tcPr>
              <w:p w14:paraId="2D1B8D13" w14:textId="77777777" w:rsidR="00B345FB" w:rsidRPr="00406EBF" w:rsidRDefault="00B345FB" w:rsidP="00225815">
                <w:pPr>
                  <w:jc w:val="center"/>
                  <w:rPr>
                    <w:sz w:val="21"/>
                    <w:szCs w:val="21"/>
                  </w:rPr>
                </w:pPr>
                <w:r w:rsidRPr="00406EBF">
                  <w:rPr>
                    <w:sz w:val="21"/>
                    <w:szCs w:val="21"/>
                  </w:rPr>
                  <w:t>7</w:t>
                </w:r>
              </w:p>
            </w:tc>
            <w:tc>
              <w:tcPr>
                <w:tcW w:w="1590" w:type="dxa"/>
                <w:tcBorders>
                  <w:top w:val="single" w:sz="4" w:space="0" w:color="auto"/>
                </w:tcBorders>
              </w:tcPr>
              <w:p w14:paraId="14FFE8E6" w14:textId="77777777" w:rsidR="00B345FB" w:rsidRPr="00406EBF" w:rsidRDefault="00B345FB" w:rsidP="00225815">
                <w:pPr>
                  <w:jc w:val="center"/>
                  <w:rPr>
                    <w:sz w:val="21"/>
                    <w:szCs w:val="21"/>
                  </w:rPr>
                </w:pPr>
                <w:r w:rsidRPr="00406EBF">
                  <w:rPr>
                    <w:sz w:val="21"/>
                    <w:szCs w:val="21"/>
                  </w:rPr>
                  <w:t>3</w:t>
                </w:r>
              </w:p>
            </w:tc>
            <w:tc>
              <w:tcPr>
                <w:tcW w:w="1590" w:type="dxa"/>
                <w:tcBorders>
                  <w:top w:val="single" w:sz="4" w:space="0" w:color="auto"/>
                </w:tcBorders>
              </w:tcPr>
              <w:p w14:paraId="38966E9C" w14:textId="77777777" w:rsidR="00B345FB" w:rsidRPr="00406EBF" w:rsidRDefault="00B345FB" w:rsidP="00225815">
                <w:pPr>
                  <w:jc w:val="center"/>
                  <w:rPr>
                    <w:sz w:val="21"/>
                    <w:szCs w:val="21"/>
                  </w:rPr>
                </w:pPr>
                <w:r w:rsidRPr="00406EBF">
                  <w:rPr>
                    <w:sz w:val="21"/>
                    <w:szCs w:val="21"/>
                  </w:rPr>
                  <w:t>7</w:t>
                </w:r>
              </w:p>
            </w:tc>
            <w:tc>
              <w:tcPr>
                <w:tcW w:w="1590" w:type="dxa"/>
                <w:tcBorders>
                  <w:top w:val="single" w:sz="4" w:space="0" w:color="auto"/>
                </w:tcBorders>
              </w:tcPr>
              <w:p w14:paraId="7E1E3334" w14:textId="77777777" w:rsidR="00B345FB" w:rsidRPr="00406EBF" w:rsidRDefault="00B345FB" w:rsidP="00225815">
                <w:pPr>
                  <w:jc w:val="center"/>
                  <w:rPr>
                    <w:sz w:val="21"/>
                    <w:szCs w:val="21"/>
                  </w:rPr>
                </w:pPr>
                <w:r w:rsidRPr="00406EBF">
                  <w:rPr>
                    <w:sz w:val="21"/>
                    <w:szCs w:val="21"/>
                  </w:rPr>
                  <w:t>4</w:t>
                </w:r>
              </w:p>
            </w:tc>
            <w:tc>
              <w:tcPr>
                <w:tcW w:w="1591" w:type="dxa"/>
                <w:tcBorders>
                  <w:top w:val="single" w:sz="4" w:space="0" w:color="auto"/>
                </w:tcBorders>
              </w:tcPr>
              <w:p w14:paraId="679F5E9B" w14:textId="77777777" w:rsidR="00B345FB" w:rsidRPr="00406EBF" w:rsidRDefault="00B345FB" w:rsidP="00225815">
                <w:pPr>
                  <w:jc w:val="center"/>
                  <w:rPr>
                    <w:sz w:val="21"/>
                    <w:szCs w:val="21"/>
                  </w:rPr>
                </w:pPr>
                <w:r w:rsidRPr="00406EBF">
                  <w:rPr>
                    <w:sz w:val="21"/>
                    <w:szCs w:val="21"/>
                  </w:rPr>
                  <w:t>1</w:t>
                </w:r>
              </w:p>
            </w:tc>
          </w:tr>
          <w:tr w:rsidR="00B345FB" w:rsidRPr="00406EBF" w14:paraId="7A369ED7" w14:textId="77777777" w:rsidTr="00225815">
            <w:tc>
              <w:tcPr>
                <w:tcW w:w="1740" w:type="dxa"/>
                <w:shd w:val="clear" w:color="auto" w:fill="FFFFFF" w:themeFill="background1"/>
              </w:tcPr>
              <w:p w14:paraId="79648D32" w14:textId="77777777" w:rsidR="00B345FB" w:rsidRPr="00406EBF" w:rsidRDefault="00B345FB" w:rsidP="00225815">
                <w:pPr>
                  <w:rPr>
                    <w:b/>
                    <w:sz w:val="21"/>
                    <w:szCs w:val="21"/>
                    <w:lang w:val="fr-BE"/>
                  </w:rPr>
                </w:pPr>
                <w:r w:rsidRPr="00406EBF">
                  <w:rPr>
                    <w:b/>
                    <w:sz w:val="21"/>
                    <w:szCs w:val="21"/>
                    <w:lang w:val="fr-BE"/>
                  </w:rPr>
                  <w:t xml:space="preserve">Nombre total d’enquêtes </w:t>
                </w:r>
              </w:p>
            </w:tc>
            <w:tc>
              <w:tcPr>
                <w:tcW w:w="1475" w:type="dxa"/>
                <w:shd w:val="clear" w:color="auto" w:fill="FFFFFF" w:themeFill="background1"/>
              </w:tcPr>
              <w:p w14:paraId="2189BBB7" w14:textId="77777777" w:rsidR="00B345FB" w:rsidRPr="00406EBF" w:rsidRDefault="00B345FB" w:rsidP="00225815">
                <w:pPr>
                  <w:jc w:val="center"/>
                  <w:rPr>
                    <w:sz w:val="21"/>
                    <w:szCs w:val="21"/>
                  </w:rPr>
                </w:pPr>
                <w:r w:rsidRPr="00406EBF">
                  <w:rPr>
                    <w:sz w:val="21"/>
                    <w:szCs w:val="21"/>
                  </w:rPr>
                  <w:t>128</w:t>
                </w:r>
              </w:p>
            </w:tc>
            <w:tc>
              <w:tcPr>
                <w:tcW w:w="1590" w:type="dxa"/>
                <w:shd w:val="clear" w:color="auto" w:fill="FFFFFF" w:themeFill="background1"/>
              </w:tcPr>
              <w:p w14:paraId="3BF31B65" w14:textId="77777777" w:rsidR="00B345FB" w:rsidRPr="00406EBF" w:rsidRDefault="00B345FB" w:rsidP="00225815">
                <w:pPr>
                  <w:jc w:val="center"/>
                  <w:rPr>
                    <w:sz w:val="21"/>
                    <w:szCs w:val="21"/>
                  </w:rPr>
                </w:pPr>
                <w:r w:rsidRPr="00406EBF">
                  <w:rPr>
                    <w:sz w:val="21"/>
                    <w:szCs w:val="21"/>
                  </w:rPr>
                  <w:t>113</w:t>
                </w:r>
              </w:p>
            </w:tc>
            <w:tc>
              <w:tcPr>
                <w:tcW w:w="1590" w:type="dxa"/>
                <w:shd w:val="clear" w:color="auto" w:fill="FFFFFF" w:themeFill="background1"/>
              </w:tcPr>
              <w:p w14:paraId="786EC934" w14:textId="77777777" w:rsidR="00B345FB" w:rsidRPr="00406EBF" w:rsidRDefault="00B345FB" w:rsidP="00225815">
                <w:pPr>
                  <w:jc w:val="center"/>
                  <w:rPr>
                    <w:sz w:val="21"/>
                    <w:szCs w:val="21"/>
                  </w:rPr>
                </w:pPr>
                <w:r w:rsidRPr="00406EBF">
                  <w:rPr>
                    <w:sz w:val="21"/>
                    <w:szCs w:val="21"/>
                  </w:rPr>
                  <w:t>130</w:t>
                </w:r>
              </w:p>
            </w:tc>
            <w:tc>
              <w:tcPr>
                <w:tcW w:w="1590" w:type="dxa"/>
                <w:shd w:val="clear" w:color="auto" w:fill="FFFFFF" w:themeFill="background1"/>
              </w:tcPr>
              <w:p w14:paraId="4D29D616" w14:textId="77777777" w:rsidR="00B345FB" w:rsidRPr="00406EBF" w:rsidRDefault="00B345FB" w:rsidP="00225815">
                <w:pPr>
                  <w:jc w:val="center"/>
                  <w:rPr>
                    <w:sz w:val="21"/>
                    <w:szCs w:val="21"/>
                  </w:rPr>
                </w:pPr>
                <w:r w:rsidRPr="00406EBF">
                  <w:rPr>
                    <w:sz w:val="21"/>
                    <w:szCs w:val="21"/>
                  </w:rPr>
                  <w:t>127</w:t>
                </w:r>
              </w:p>
            </w:tc>
            <w:tc>
              <w:tcPr>
                <w:tcW w:w="1591" w:type="dxa"/>
                <w:shd w:val="clear" w:color="auto" w:fill="FFFFFF" w:themeFill="background1"/>
              </w:tcPr>
              <w:p w14:paraId="5906F01E" w14:textId="77777777" w:rsidR="00B345FB" w:rsidRPr="00406EBF" w:rsidRDefault="00B345FB" w:rsidP="00225815">
                <w:pPr>
                  <w:jc w:val="center"/>
                  <w:rPr>
                    <w:sz w:val="21"/>
                    <w:szCs w:val="21"/>
                  </w:rPr>
                </w:pPr>
                <w:r w:rsidRPr="00406EBF">
                  <w:rPr>
                    <w:sz w:val="21"/>
                    <w:szCs w:val="21"/>
                  </w:rPr>
                  <w:t>138</w:t>
                </w:r>
              </w:p>
            </w:tc>
          </w:tr>
        </w:tbl>
        <w:p w14:paraId="1C78862F" w14:textId="77777777" w:rsidR="00B345FB" w:rsidRPr="00406EBF" w:rsidRDefault="00B345FB" w:rsidP="00B345FB">
          <w:pPr>
            <w:rPr>
              <w:rFonts w:cstheme="minorHAnsi"/>
              <w:sz w:val="8"/>
              <w:szCs w:val="8"/>
              <w:u w:val="single"/>
            </w:rPr>
          </w:pPr>
        </w:p>
        <w:p w14:paraId="56C07816" w14:textId="77777777" w:rsidR="00B345FB" w:rsidRPr="00406EBF" w:rsidRDefault="00B345FB" w:rsidP="00B345FB">
          <w:pPr>
            <w:rPr>
              <w:rFonts w:cstheme="minorHAnsi"/>
              <w:sz w:val="21"/>
              <w:szCs w:val="21"/>
              <w:u w:val="single"/>
            </w:rPr>
          </w:pPr>
        </w:p>
        <w:p w14:paraId="30CBDAFB" w14:textId="77777777" w:rsidR="00B345FB" w:rsidRPr="00406EBF" w:rsidRDefault="00B345FB" w:rsidP="00AE367F">
          <w:pPr>
            <w:spacing w:line="240" w:lineRule="auto"/>
            <w:jc w:val="both"/>
            <w:rPr>
              <w:rFonts w:cstheme="minorHAnsi"/>
              <w:b/>
              <w:sz w:val="23"/>
              <w:szCs w:val="23"/>
              <w:lang w:val="fr-BE"/>
            </w:rPr>
          </w:pPr>
          <w:r w:rsidRPr="00406EBF">
            <w:rPr>
              <w:rFonts w:cstheme="minorHAnsi"/>
              <w:b/>
              <w:sz w:val="23"/>
              <w:szCs w:val="23"/>
              <w:u w:val="single"/>
              <w:lang w:val="fr-BE"/>
            </w:rPr>
            <w:t>Tableau 4 :</w:t>
          </w:r>
          <w:r w:rsidRPr="00406EBF">
            <w:rPr>
              <w:rFonts w:cstheme="minorHAnsi"/>
              <w:b/>
              <w:sz w:val="23"/>
              <w:szCs w:val="23"/>
              <w:lang w:val="fr-BE"/>
            </w:rPr>
            <w:t xml:space="preserve"> Jugements et arrêts </w:t>
          </w:r>
          <w:r w:rsidR="00AE367F" w:rsidRPr="00406EBF">
            <w:rPr>
              <w:rFonts w:cstheme="minorHAnsi"/>
              <w:b/>
              <w:sz w:val="23"/>
              <w:szCs w:val="23"/>
              <w:lang w:val="fr-BE"/>
            </w:rPr>
            <w:t>visant</w:t>
          </w:r>
          <w:r w:rsidRPr="00406EBF">
            <w:rPr>
              <w:rFonts w:cstheme="minorHAnsi"/>
              <w:b/>
              <w:sz w:val="23"/>
              <w:szCs w:val="23"/>
              <w:lang w:val="fr-BE"/>
            </w:rPr>
            <w:t xml:space="preserve"> de</w:t>
          </w:r>
          <w:r w:rsidR="00AE367F" w:rsidRPr="00406EBF">
            <w:rPr>
              <w:rFonts w:cstheme="minorHAnsi"/>
              <w:b/>
              <w:sz w:val="23"/>
              <w:szCs w:val="23"/>
              <w:lang w:val="fr-BE"/>
            </w:rPr>
            <w:t>s</w:t>
          </w:r>
          <w:r w:rsidRPr="00406EBF">
            <w:rPr>
              <w:rFonts w:cstheme="minorHAnsi"/>
              <w:b/>
              <w:sz w:val="23"/>
              <w:szCs w:val="23"/>
              <w:lang w:val="fr-BE"/>
            </w:rPr>
            <w:t xml:space="preserve"> policiers pour des faits de corruption communiqués au Comité P pour la période 2013 - 2017 au titre de l’article 14, 1</w:t>
          </w:r>
          <w:r w:rsidRPr="00406EBF">
            <w:rPr>
              <w:rFonts w:cstheme="minorHAnsi"/>
              <w:b/>
              <w:sz w:val="23"/>
              <w:szCs w:val="23"/>
              <w:vertAlign w:val="superscript"/>
              <w:lang w:val="fr-BE"/>
            </w:rPr>
            <w:t>er</w:t>
          </w:r>
          <w:r w:rsidRPr="00406EBF">
            <w:rPr>
              <w:rFonts w:cstheme="minorHAnsi"/>
              <w:b/>
              <w:sz w:val="23"/>
              <w:szCs w:val="23"/>
              <w:lang w:val="fr-BE"/>
            </w:rPr>
            <w:t xml:space="preserve"> al. de la loi organique du 18 juillet 1991</w:t>
          </w:r>
        </w:p>
        <w:p w14:paraId="179C93BF" w14:textId="77777777" w:rsidR="00B345FB" w:rsidRPr="00406EBF" w:rsidRDefault="00B345FB" w:rsidP="00B345FB">
          <w:pPr>
            <w:rPr>
              <w:rFonts w:cstheme="minorHAnsi"/>
              <w:b/>
              <w:sz w:val="21"/>
              <w:szCs w:val="21"/>
              <w:lang w:val="fr-BE"/>
            </w:rPr>
          </w:pPr>
        </w:p>
        <w:p w14:paraId="6CDCC194" w14:textId="77777777" w:rsidR="00B345FB" w:rsidRPr="00406EBF" w:rsidRDefault="00B345FB" w:rsidP="00AE367F">
          <w:pPr>
            <w:jc w:val="both"/>
            <w:rPr>
              <w:rFonts w:cstheme="minorHAnsi"/>
              <w:sz w:val="21"/>
              <w:szCs w:val="21"/>
              <w:lang w:val="fr-BE"/>
            </w:rPr>
          </w:pPr>
          <w:r w:rsidRPr="00406EBF">
            <w:rPr>
              <w:rFonts w:cstheme="minorHAnsi"/>
              <w:sz w:val="21"/>
              <w:szCs w:val="21"/>
              <w:u w:val="single"/>
              <w:lang w:val="fr-BE"/>
            </w:rPr>
            <w:t>Remarque préalable</w:t>
          </w:r>
          <w:r w:rsidRPr="00406EBF">
            <w:rPr>
              <w:rFonts w:cstheme="minorHAnsi"/>
              <w:sz w:val="21"/>
              <w:szCs w:val="21"/>
              <w:lang w:val="fr-BE"/>
            </w:rPr>
            <w:t xml:space="preserve"> : Bien qu’il s’agisse d’une obligation légale, le Comité P a pu constater à plusieurs reprises que tous les jugements et arrêts </w:t>
          </w:r>
          <w:r w:rsidR="00AE367F" w:rsidRPr="00406EBF">
            <w:rPr>
              <w:rFonts w:cstheme="minorHAnsi"/>
              <w:sz w:val="21"/>
              <w:szCs w:val="21"/>
              <w:lang w:val="fr-BE"/>
            </w:rPr>
            <w:t>visant</w:t>
          </w:r>
          <w:r w:rsidRPr="00406EBF">
            <w:rPr>
              <w:rFonts w:cstheme="minorHAnsi"/>
              <w:sz w:val="21"/>
              <w:szCs w:val="21"/>
              <w:lang w:val="fr-BE"/>
            </w:rPr>
            <w:t xml:space="preserve"> de</w:t>
          </w:r>
          <w:r w:rsidR="00AE367F" w:rsidRPr="00406EBF">
            <w:rPr>
              <w:rFonts w:cstheme="minorHAnsi"/>
              <w:sz w:val="21"/>
              <w:szCs w:val="21"/>
              <w:lang w:val="fr-BE"/>
            </w:rPr>
            <w:t>s</w:t>
          </w:r>
          <w:r w:rsidRPr="00406EBF">
            <w:rPr>
              <w:rFonts w:cstheme="minorHAnsi"/>
              <w:sz w:val="21"/>
              <w:szCs w:val="21"/>
              <w:lang w:val="fr-BE"/>
            </w:rPr>
            <w:t xml:space="preserve"> policiers ne lui sont pas communiqués</w:t>
          </w:r>
          <w:r w:rsidRPr="00406EBF">
            <w:rPr>
              <w:rStyle w:val="Appelnotedebasdep"/>
              <w:rFonts w:cstheme="minorHAnsi"/>
              <w:sz w:val="21"/>
              <w:szCs w:val="21"/>
            </w:rPr>
            <w:footnoteReference w:id="62"/>
          </w:r>
          <w:r w:rsidRPr="00406EBF">
            <w:rPr>
              <w:rFonts w:cstheme="minorHAnsi"/>
              <w:sz w:val="21"/>
              <w:szCs w:val="21"/>
              <w:lang w:val="fr-BE"/>
            </w:rPr>
            <w:t xml:space="preserve">. Il s’agit dès lors ici d’un aperçu très relatif de la situation. </w:t>
          </w:r>
        </w:p>
        <w:p w14:paraId="6BFB37A2" w14:textId="77777777" w:rsidR="00B345FB" w:rsidRPr="00406EBF" w:rsidRDefault="00B345FB" w:rsidP="00B345FB">
          <w:pPr>
            <w:rPr>
              <w:sz w:val="21"/>
              <w:szCs w:val="21"/>
              <w:lang w:val="fr-BE"/>
            </w:rPr>
          </w:pPr>
        </w:p>
        <w:p w14:paraId="1F923F35" w14:textId="77777777" w:rsidR="00B345FB" w:rsidRPr="00406EBF" w:rsidRDefault="00B345FB" w:rsidP="00B345FB">
          <w:pPr>
            <w:rPr>
              <w:rFonts w:cstheme="minorHAnsi"/>
              <w:sz w:val="8"/>
              <w:szCs w:val="8"/>
              <w:lang w:val="fr-BE"/>
            </w:rPr>
          </w:pPr>
        </w:p>
        <w:tbl>
          <w:tblPr>
            <w:tblStyle w:val="Grilledutableau"/>
            <w:tblW w:w="10311" w:type="dxa"/>
            <w:tblInd w:w="-289" w:type="dxa"/>
            <w:tblLook w:val="04A0" w:firstRow="1" w:lastRow="0" w:firstColumn="1" w:lastColumn="0" w:noHBand="0" w:noVBand="1"/>
          </w:tblPr>
          <w:tblGrid>
            <w:gridCol w:w="2146"/>
            <w:gridCol w:w="790"/>
            <w:gridCol w:w="843"/>
            <w:gridCol w:w="790"/>
            <w:gridCol w:w="843"/>
            <w:gridCol w:w="790"/>
            <w:gridCol w:w="843"/>
            <w:gridCol w:w="790"/>
            <w:gridCol w:w="843"/>
            <w:gridCol w:w="790"/>
            <w:gridCol w:w="843"/>
          </w:tblGrid>
          <w:tr w:rsidR="00B345FB" w:rsidRPr="00406EBF" w14:paraId="2F12FFA2" w14:textId="77777777" w:rsidTr="00225815">
            <w:tc>
              <w:tcPr>
                <w:tcW w:w="2146" w:type="dxa"/>
                <w:vMerge w:val="restart"/>
                <w:shd w:val="clear" w:color="auto" w:fill="8DB3E2" w:themeFill="text2" w:themeFillTint="66"/>
              </w:tcPr>
              <w:p w14:paraId="488FA9BF" w14:textId="77777777" w:rsidR="00B345FB" w:rsidRPr="00406EBF" w:rsidRDefault="00B345FB" w:rsidP="00225815">
                <w:pPr>
                  <w:rPr>
                    <w:rFonts w:cstheme="minorHAnsi"/>
                    <w:b/>
                    <w:sz w:val="21"/>
                    <w:szCs w:val="21"/>
                  </w:rPr>
                </w:pPr>
                <w:r w:rsidRPr="00406EBF">
                  <w:rPr>
                    <w:b/>
                    <w:sz w:val="21"/>
                    <w:szCs w:val="21"/>
                  </w:rPr>
                  <w:t>CORRUPTION</w:t>
                </w:r>
              </w:p>
            </w:tc>
            <w:tc>
              <w:tcPr>
                <w:tcW w:w="1633" w:type="dxa"/>
                <w:gridSpan w:val="2"/>
                <w:shd w:val="clear" w:color="auto" w:fill="000080"/>
              </w:tcPr>
              <w:p w14:paraId="4A6FE7E4" w14:textId="77777777" w:rsidR="00B345FB" w:rsidRPr="00406EBF" w:rsidRDefault="00B345FB" w:rsidP="00225815">
                <w:pPr>
                  <w:jc w:val="center"/>
                  <w:rPr>
                    <w:rFonts w:cstheme="minorHAnsi"/>
                    <w:b/>
                    <w:sz w:val="21"/>
                    <w:szCs w:val="21"/>
                  </w:rPr>
                </w:pPr>
                <w:r w:rsidRPr="00406EBF">
                  <w:rPr>
                    <w:rFonts w:cstheme="minorHAnsi"/>
                    <w:b/>
                    <w:sz w:val="21"/>
                    <w:szCs w:val="21"/>
                  </w:rPr>
                  <w:t>2013</w:t>
                </w:r>
              </w:p>
            </w:tc>
            <w:tc>
              <w:tcPr>
                <w:tcW w:w="1633" w:type="dxa"/>
                <w:gridSpan w:val="2"/>
                <w:shd w:val="clear" w:color="auto" w:fill="000080"/>
              </w:tcPr>
              <w:p w14:paraId="421FF80F" w14:textId="77777777" w:rsidR="00B345FB" w:rsidRPr="00406EBF" w:rsidRDefault="00B345FB" w:rsidP="00225815">
                <w:pPr>
                  <w:jc w:val="center"/>
                  <w:rPr>
                    <w:rFonts w:cstheme="minorHAnsi"/>
                    <w:b/>
                    <w:sz w:val="21"/>
                    <w:szCs w:val="21"/>
                  </w:rPr>
                </w:pPr>
                <w:r w:rsidRPr="00406EBF">
                  <w:rPr>
                    <w:rFonts w:cstheme="minorHAnsi"/>
                    <w:b/>
                    <w:sz w:val="21"/>
                    <w:szCs w:val="21"/>
                  </w:rPr>
                  <w:t>2014</w:t>
                </w:r>
              </w:p>
            </w:tc>
            <w:tc>
              <w:tcPr>
                <w:tcW w:w="1633" w:type="dxa"/>
                <w:gridSpan w:val="2"/>
                <w:shd w:val="clear" w:color="auto" w:fill="000080"/>
              </w:tcPr>
              <w:p w14:paraId="5F7C364F" w14:textId="77777777" w:rsidR="00B345FB" w:rsidRPr="00406EBF" w:rsidRDefault="00B345FB" w:rsidP="00225815">
                <w:pPr>
                  <w:jc w:val="center"/>
                  <w:rPr>
                    <w:rFonts w:cstheme="minorHAnsi"/>
                    <w:b/>
                    <w:sz w:val="21"/>
                    <w:szCs w:val="21"/>
                  </w:rPr>
                </w:pPr>
                <w:r w:rsidRPr="00406EBF">
                  <w:rPr>
                    <w:rFonts w:cstheme="minorHAnsi"/>
                    <w:b/>
                    <w:sz w:val="21"/>
                    <w:szCs w:val="21"/>
                  </w:rPr>
                  <w:t>2015</w:t>
                </w:r>
              </w:p>
            </w:tc>
            <w:tc>
              <w:tcPr>
                <w:tcW w:w="1633" w:type="dxa"/>
                <w:gridSpan w:val="2"/>
                <w:shd w:val="clear" w:color="auto" w:fill="000080"/>
              </w:tcPr>
              <w:p w14:paraId="3B3C4CE4" w14:textId="77777777" w:rsidR="00B345FB" w:rsidRPr="00406EBF" w:rsidRDefault="00B345FB" w:rsidP="00225815">
                <w:pPr>
                  <w:jc w:val="center"/>
                  <w:rPr>
                    <w:rFonts w:cstheme="minorHAnsi"/>
                    <w:b/>
                    <w:sz w:val="21"/>
                    <w:szCs w:val="21"/>
                  </w:rPr>
                </w:pPr>
                <w:r w:rsidRPr="00406EBF">
                  <w:rPr>
                    <w:rFonts w:cstheme="minorHAnsi"/>
                    <w:b/>
                    <w:sz w:val="21"/>
                    <w:szCs w:val="21"/>
                  </w:rPr>
                  <w:t>2016</w:t>
                </w:r>
              </w:p>
            </w:tc>
            <w:tc>
              <w:tcPr>
                <w:tcW w:w="1633" w:type="dxa"/>
                <w:gridSpan w:val="2"/>
                <w:shd w:val="clear" w:color="auto" w:fill="000080"/>
              </w:tcPr>
              <w:p w14:paraId="135E98A7" w14:textId="77777777" w:rsidR="00B345FB" w:rsidRPr="00406EBF" w:rsidRDefault="00B345FB" w:rsidP="00225815">
                <w:pPr>
                  <w:jc w:val="center"/>
                  <w:rPr>
                    <w:rFonts w:cstheme="minorHAnsi"/>
                    <w:b/>
                    <w:sz w:val="21"/>
                    <w:szCs w:val="21"/>
                  </w:rPr>
                </w:pPr>
                <w:r w:rsidRPr="00406EBF">
                  <w:rPr>
                    <w:rFonts w:cstheme="minorHAnsi"/>
                    <w:b/>
                    <w:sz w:val="21"/>
                    <w:szCs w:val="21"/>
                  </w:rPr>
                  <w:t>2017</w:t>
                </w:r>
              </w:p>
            </w:tc>
          </w:tr>
          <w:tr w:rsidR="00B345FB" w:rsidRPr="00406EBF" w14:paraId="25B1C1DC" w14:textId="77777777" w:rsidTr="00225815">
            <w:tc>
              <w:tcPr>
                <w:tcW w:w="2146" w:type="dxa"/>
                <w:vMerge/>
                <w:shd w:val="clear" w:color="auto" w:fill="8DB3E2" w:themeFill="text2" w:themeFillTint="66"/>
              </w:tcPr>
              <w:p w14:paraId="06E5AFD7" w14:textId="77777777" w:rsidR="00B345FB" w:rsidRPr="00406EBF" w:rsidRDefault="00B345FB" w:rsidP="00225815">
                <w:pPr>
                  <w:jc w:val="center"/>
                  <w:rPr>
                    <w:rFonts w:cstheme="minorHAnsi"/>
                    <w:b/>
                    <w:sz w:val="21"/>
                    <w:szCs w:val="21"/>
                  </w:rPr>
                </w:pPr>
              </w:p>
            </w:tc>
            <w:tc>
              <w:tcPr>
                <w:tcW w:w="790" w:type="dxa"/>
                <w:shd w:val="clear" w:color="auto" w:fill="8DB3E2" w:themeFill="text2" w:themeFillTint="66"/>
              </w:tcPr>
              <w:p w14:paraId="3497713F" w14:textId="77777777" w:rsidR="00B345FB" w:rsidRPr="00406EBF" w:rsidRDefault="00B345FB" w:rsidP="00225815">
                <w:pPr>
                  <w:jc w:val="center"/>
                  <w:rPr>
                    <w:rFonts w:cstheme="minorHAnsi"/>
                    <w:b/>
                    <w:sz w:val="21"/>
                    <w:szCs w:val="21"/>
                  </w:rPr>
                </w:pPr>
                <w:r w:rsidRPr="00406EBF">
                  <w:rPr>
                    <w:rFonts w:cstheme="minorHAnsi"/>
                    <w:b/>
                    <w:sz w:val="21"/>
                    <w:szCs w:val="21"/>
                  </w:rPr>
                  <w:t>Pas établi</w:t>
                </w:r>
              </w:p>
            </w:tc>
            <w:tc>
              <w:tcPr>
                <w:tcW w:w="843" w:type="dxa"/>
                <w:shd w:val="clear" w:color="auto" w:fill="8DB3E2" w:themeFill="text2" w:themeFillTint="66"/>
              </w:tcPr>
              <w:p w14:paraId="30E042D2" w14:textId="77777777" w:rsidR="00B345FB" w:rsidRPr="00406EBF" w:rsidRDefault="00B345FB" w:rsidP="00225815">
                <w:pPr>
                  <w:jc w:val="center"/>
                  <w:rPr>
                    <w:rFonts w:cstheme="minorHAnsi"/>
                    <w:b/>
                    <w:sz w:val="21"/>
                    <w:szCs w:val="21"/>
                  </w:rPr>
                </w:pPr>
                <w:r w:rsidRPr="00406EBF">
                  <w:rPr>
                    <w:b/>
                    <w:sz w:val="21"/>
                    <w:szCs w:val="21"/>
                  </w:rPr>
                  <w:t>Établi</w:t>
                </w:r>
              </w:p>
            </w:tc>
            <w:tc>
              <w:tcPr>
                <w:tcW w:w="790" w:type="dxa"/>
                <w:shd w:val="clear" w:color="auto" w:fill="8DB3E2" w:themeFill="text2" w:themeFillTint="66"/>
              </w:tcPr>
              <w:p w14:paraId="26705053" w14:textId="77777777" w:rsidR="00B345FB" w:rsidRPr="00406EBF" w:rsidRDefault="00B345FB" w:rsidP="00225815">
                <w:pPr>
                  <w:jc w:val="center"/>
                  <w:rPr>
                    <w:rFonts w:cstheme="minorHAnsi"/>
                    <w:sz w:val="21"/>
                    <w:szCs w:val="21"/>
                  </w:rPr>
                </w:pPr>
                <w:r w:rsidRPr="00406EBF">
                  <w:rPr>
                    <w:rFonts w:cstheme="minorHAnsi"/>
                    <w:b/>
                    <w:sz w:val="21"/>
                    <w:szCs w:val="21"/>
                  </w:rPr>
                  <w:t>Pas établi</w:t>
                </w:r>
              </w:p>
            </w:tc>
            <w:tc>
              <w:tcPr>
                <w:tcW w:w="843" w:type="dxa"/>
                <w:shd w:val="clear" w:color="auto" w:fill="8DB3E2" w:themeFill="text2" w:themeFillTint="66"/>
              </w:tcPr>
              <w:p w14:paraId="3DC6586B" w14:textId="77777777" w:rsidR="00B345FB" w:rsidRPr="00406EBF" w:rsidRDefault="00B345FB" w:rsidP="00225815">
                <w:pPr>
                  <w:jc w:val="center"/>
                  <w:rPr>
                    <w:rFonts w:cstheme="minorHAnsi"/>
                    <w:sz w:val="21"/>
                    <w:szCs w:val="21"/>
                  </w:rPr>
                </w:pPr>
                <w:r w:rsidRPr="00406EBF">
                  <w:rPr>
                    <w:b/>
                    <w:sz w:val="21"/>
                    <w:szCs w:val="21"/>
                  </w:rPr>
                  <w:t>Établi</w:t>
                </w:r>
              </w:p>
            </w:tc>
            <w:tc>
              <w:tcPr>
                <w:tcW w:w="790" w:type="dxa"/>
                <w:shd w:val="clear" w:color="auto" w:fill="8DB3E2" w:themeFill="text2" w:themeFillTint="66"/>
              </w:tcPr>
              <w:p w14:paraId="7D3AD9A8" w14:textId="77777777" w:rsidR="00B345FB" w:rsidRPr="00406EBF" w:rsidRDefault="00B345FB" w:rsidP="00225815">
                <w:pPr>
                  <w:jc w:val="center"/>
                  <w:rPr>
                    <w:rFonts w:cstheme="minorHAnsi"/>
                    <w:sz w:val="21"/>
                    <w:szCs w:val="21"/>
                  </w:rPr>
                </w:pPr>
                <w:r w:rsidRPr="00406EBF">
                  <w:rPr>
                    <w:rFonts w:cstheme="minorHAnsi"/>
                    <w:b/>
                    <w:sz w:val="21"/>
                    <w:szCs w:val="21"/>
                  </w:rPr>
                  <w:t>Pas établi</w:t>
                </w:r>
              </w:p>
            </w:tc>
            <w:tc>
              <w:tcPr>
                <w:tcW w:w="843" w:type="dxa"/>
                <w:shd w:val="clear" w:color="auto" w:fill="8DB3E2" w:themeFill="text2" w:themeFillTint="66"/>
              </w:tcPr>
              <w:p w14:paraId="55BD0B99" w14:textId="77777777" w:rsidR="00B345FB" w:rsidRPr="00406EBF" w:rsidRDefault="00B345FB" w:rsidP="00225815">
                <w:pPr>
                  <w:jc w:val="center"/>
                  <w:rPr>
                    <w:rFonts w:cstheme="minorHAnsi"/>
                    <w:sz w:val="21"/>
                    <w:szCs w:val="21"/>
                  </w:rPr>
                </w:pPr>
                <w:r w:rsidRPr="00406EBF">
                  <w:rPr>
                    <w:b/>
                    <w:sz w:val="21"/>
                    <w:szCs w:val="21"/>
                  </w:rPr>
                  <w:t>Établi</w:t>
                </w:r>
              </w:p>
            </w:tc>
            <w:tc>
              <w:tcPr>
                <w:tcW w:w="790" w:type="dxa"/>
                <w:shd w:val="clear" w:color="auto" w:fill="8DB3E2" w:themeFill="text2" w:themeFillTint="66"/>
              </w:tcPr>
              <w:p w14:paraId="5072D94D" w14:textId="77777777" w:rsidR="00B345FB" w:rsidRPr="00406EBF" w:rsidRDefault="00B345FB" w:rsidP="00225815">
                <w:pPr>
                  <w:jc w:val="center"/>
                  <w:rPr>
                    <w:rFonts w:cstheme="minorHAnsi"/>
                    <w:sz w:val="21"/>
                    <w:szCs w:val="21"/>
                  </w:rPr>
                </w:pPr>
                <w:r w:rsidRPr="00406EBF">
                  <w:rPr>
                    <w:rFonts w:cstheme="minorHAnsi"/>
                    <w:b/>
                    <w:sz w:val="21"/>
                    <w:szCs w:val="21"/>
                  </w:rPr>
                  <w:t>Pas établi</w:t>
                </w:r>
              </w:p>
            </w:tc>
            <w:tc>
              <w:tcPr>
                <w:tcW w:w="843" w:type="dxa"/>
                <w:shd w:val="clear" w:color="auto" w:fill="8DB3E2" w:themeFill="text2" w:themeFillTint="66"/>
              </w:tcPr>
              <w:p w14:paraId="61074E50" w14:textId="77777777" w:rsidR="00B345FB" w:rsidRPr="00406EBF" w:rsidRDefault="00B345FB" w:rsidP="00225815">
                <w:pPr>
                  <w:jc w:val="center"/>
                  <w:rPr>
                    <w:rFonts w:cstheme="minorHAnsi"/>
                    <w:sz w:val="21"/>
                    <w:szCs w:val="21"/>
                  </w:rPr>
                </w:pPr>
                <w:r w:rsidRPr="00406EBF">
                  <w:rPr>
                    <w:b/>
                    <w:sz w:val="21"/>
                    <w:szCs w:val="21"/>
                  </w:rPr>
                  <w:t>Établi</w:t>
                </w:r>
              </w:p>
            </w:tc>
            <w:tc>
              <w:tcPr>
                <w:tcW w:w="790" w:type="dxa"/>
                <w:shd w:val="clear" w:color="auto" w:fill="8DB3E2" w:themeFill="text2" w:themeFillTint="66"/>
              </w:tcPr>
              <w:p w14:paraId="7054501D" w14:textId="77777777" w:rsidR="00B345FB" w:rsidRPr="00406EBF" w:rsidRDefault="00B345FB" w:rsidP="00225815">
                <w:pPr>
                  <w:jc w:val="center"/>
                  <w:rPr>
                    <w:rFonts w:cstheme="minorHAnsi"/>
                    <w:sz w:val="21"/>
                    <w:szCs w:val="21"/>
                  </w:rPr>
                </w:pPr>
                <w:r w:rsidRPr="00406EBF">
                  <w:rPr>
                    <w:rFonts w:cstheme="minorHAnsi"/>
                    <w:b/>
                    <w:sz w:val="21"/>
                    <w:szCs w:val="21"/>
                  </w:rPr>
                  <w:t>Pas établi</w:t>
                </w:r>
              </w:p>
            </w:tc>
            <w:tc>
              <w:tcPr>
                <w:tcW w:w="843" w:type="dxa"/>
                <w:shd w:val="clear" w:color="auto" w:fill="8DB3E2" w:themeFill="text2" w:themeFillTint="66"/>
              </w:tcPr>
              <w:p w14:paraId="6D926ECE" w14:textId="77777777" w:rsidR="00B345FB" w:rsidRPr="00406EBF" w:rsidRDefault="00B345FB" w:rsidP="00225815">
                <w:pPr>
                  <w:jc w:val="center"/>
                  <w:rPr>
                    <w:rFonts w:cstheme="minorHAnsi"/>
                    <w:sz w:val="21"/>
                    <w:szCs w:val="21"/>
                  </w:rPr>
                </w:pPr>
                <w:r w:rsidRPr="00406EBF">
                  <w:rPr>
                    <w:b/>
                    <w:sz w:val="21"/>
                    <w:szCs w:val="21"/>
                  </w:rPr>
                  <w:t>Établi</w:t>
                </w:r>
              </w:p>
            </w:tc>
          </w:tr>
          <w:tr w:rsidR="00B345FB" w:rsidRPr="00406EBF" w14:paraId="33C7BF34" w14:textId="77777777" w:rsidTr="00225815">
            <w:tc>
              <w:tcPr>
                <w:tcW w:w="2146" w:type="dxa"/>
                <w:shd w:val="clear" w:color="auto" w:fill="FFFFFF" w:themeFill="background1"/>
              </w:tcPr>
              <w:p w14:paraId="2F66D37D" w14:textId="77777777" w:rsidR="00B345FB" w:rsidRPr="00406EBF" w:rsidRDefault="00B345FB" w:rsidP="00225815">
                <w:pPr>
                  <w:rPr>
                    <w:rFonts w:cstheme="minorHAnsi"/>
                    <w:sz w:val="21"/>
                    <w:szCs w:val="21"/>
                  </w:rPr>
                </w:pPr>
                <w:r w:rsidRPr="00406EBF">
                  <w:rPr>
                    <w:rFonts w:cstheme="minorHAnsi"/>
                    <w:sz w:val="21"/>
                    <w:szCs w:val="21"/>
                  </w:rPr>
                  <w:t>Jugements et arrêts art. 14, 1</w:t>
                </w:r>
                <w:r w:rsidRPr="00406EBF">
                  <w:rPr>
                    <w:rFonts w:cstheme="minorHAnsi"/>
                    <w:sz w:val="21"/>
                    <w:szCs w:val="21"/>
                    <w:vertAlign w:val="superscript"/>
                  </w:rPr>
                  <w:t>er</w:t>
                </w:r>
                <w:r w:rsidRPr="00406EBF">
                  <w:rPr>
                    <w:rFonts w:cstheme="minorHAnsi"/>
                    <w:sz w:val="21"/>
                    <w:szCs w:val="21"/>
                  </w:rPr>
                  <w:t xml:space="preserve"> al. </w:t>
                </w:r>
              </w:p>
            </w:tc>
            <w:tc>
              <w:tcPr>
                <w:tcW w:w="790" w:type="dxa"/>
              </w:tcPr>
              <w:p w14:paraId="16CC2F97" w14:textId="77777777" w:rsidR="00B345FB" w:rsidRPr="00406EBF" w:rsidRDefault="00B345FB" w:rsidP="00225815">
                <w:pPr>
                  <w:jc w:val="center"/>
                  <w:rPr>
                    <w:rFonts w:cstheme="minorHAnsi"/>
                    <w:sz w:val="21"/>
                    <w:szCs w:val="21"/>
                  </w:rPr>
                </w:pPr>
                <w:r w:rsidRPr="00406EBF">
                  <w:rPr>
                    <w:rFonts w:cstheme="minorHAnsi"/>
                    <w:sz w:val="21"/>
                    <w:szCs w:val="21"/>
                  </w:rPr>
                  <w:t>0</w:t>
                </w:r>
              </w:p>
            </w:tc>
            <w:tc>
              <w:tcPr>
                <w:tcW w:w="843" w:type="dxa"/>
              </w:tcPr>
              <w:p w14:paraId="324A6AC7" w14:textId="77777777" w:rsidR="00B345FB" w:rsidRPr="00406EBF" w:rsidRDefault="00B345FB" w:rsidP="00225815">
                <w:pPr>
                  <w:jc w:val="center"/>
                  <w:rPr>
                    <w:rFonts w:cstheme="minorHAnsi"/>
                    <w:sz w:val="21"/>
                    <w:szCs w:val="21"/>
                  </w:rPr>
                </w:pPr>
                <w:r w:rsidRPr="00406EBF">
                  <w:rPr>
                    <w:rFonts w:cstheme="minorHAnsi"/>
                    <w:sz w:val="21"/>
                    <w:szCs w:val="21"/>
                  </w:rPr>
                  <w:t>0</w:t>
                </w:r>
              </w:p>
            </w:tc>
            <w:tc>
              <w:tcPr>
                <w:tcW w:w="790" w:type="dxa"/>
              </w:tcPr>
              <w:p w14:paraId="6BEF3399" w14:textId="77777777" w:rsidR="00B345FB" w:rsidRPr="00406EBF" w:rsidRDefault="00B345FB" w:rsidP="00225815">
                <w:pPr>
                  <w:jc w:val="center"/>
                  <w:rPr>
                    <w:rFonts w:cstheme="minorHAnsi"/>
                    <w:sz w:val="21"/>
                    <w:szCs w:val="21"/>
                  </w:rPr>
                </w:pPr>
                <w:r w:rsidRPr="00406EBF">
                  <w:rPr>
                    <w:rFonts w:cstheme="minorHAnsi"/>
                    <w:sz w:val="21"/>
                    <w:szCs w:val="21"/>
                  </w:rPr>
                  <w:t>7</w:t>
                </w:r>
              </w:p>
            </w:tc>
            <w:tc>
              <w:tcPr>
                <w:tcW w:w="843" w:type="dxa"/>
              </w:tcPr>
              <w:p w14:paraId="529B7695" w14:textId="77777777" w:rsidR="00B345FB" w:rsidRPr="00406EBF" w:rsidRDefault="00B345FB" w:rsidP="00225815">
                <w:pPr>
                  <w:jc w:val="center"/>
                  <w:rPr>
                    <w:rFonts w:cstheme="minorHAnsi"/>
                    <w:sz w:val="21"/>
                    <w:szCs w:val="21"/>
                  </w:rPr>
                </w:pPr>
                <w:r w:rsidRPr="00406EBF">
                  <w:rPr>
                    <w:rFonts w:cstheme="minorHAnsi"/>
                    <w:sz w:val="21"/>
                    <w:szCs w:val="21"/>
                  </w:rPr>
                  <w:t>3</w:t>
                </w:r>
              </w:p>
            </w:tc>
            <w:tc>
              <w:tcPr>
                <w:tcW w:w="790" w:type="dxa"/>
              </w:tcPr>
              <w:p w14:paraId="312111AA" w14:textId="77777777" w:rsidR="00B345FB" w:rsidRPr="00406EBF" w:rsidRDefault="00B345FB" w:rsidP="00225815">
                <w:pPr>
                  <w:jc w:val="center"/>
                  <w:rPr>
                    <w:rFonts w:cstheme="minorHAnsi"/>
                    <w:sz w:val="21"/>
                    <w:szCs w:val="21"/>
                  </w:rPr>
                </w:pPr>
                <w:r w:rsidRPr="00406EBF">
                  <w:rPr>
                    <w:rFonts w:cstheme="minorHAnsi"/>
                    <w:sz w:val="21"/>
                    <w:szCs w:val="21"/>
                  </w:rPr>
                  <w:t>4</w:t>
                </w:r>
              </w:p>
            </w:tc>
            <w:tc>
              <w:tcPr>
                <w:tcW w:w="843" w:type="dxa"/>
              </w:tcPr>
              <w:p w14:paraId="5CAF70EF" w14:textId="77777777" w:rsidR="00B345FB" w:rsidRPr="00406EBF" w:rsidRDefault="00B345FB" w:rsidP="00225815">
                <w:pPr>
                  <w:jc w:val="center"/>
                  <w:rPr>
                    <w:rFonts w:cstheme="minorHAnsi"/>
                    <w:sz w:val="21"/>
                    <w:szCs w:val="21"/>
                  </w:rPr>
                </w:pPr>
                <w:r w:rsidRPr="00406EBF">
                  <w:rPr>
                    <w:rFonts w:cstheme="minorHAnsi"/>
                    <w:sz w:val="21"/>
                    <w:szCs w:val="21"/>
                  </w:rPr>
                  <w:t>0</w:t>
                </w:r>
              </w:p>
            </w:tc>
            <w:tc>
              <w:tcPr>
                <w:tcW w:w="790" w:type="dxa"/>
              </w:tcPr>
              <w:p w14:paraId="518C7A48" w14:textId="77777777" w:rsidR="00B345FB" w:rsidRPr="00406EBF" w:rsidRDefault="00B345FB" w:rsidP="00225815">
                <w:pPr>
                  <w:jc w:val="center"/>
                  <w:rPr>
                    <w:rFonts w:cstheme="minorHAnsi"/>
                    <w:sz w:val="21"/>
                    <w:szCs w:val="21"/>
                  </w:rPr>
                </w:pPr>
                <w:r w:rsidRPr="00406EBF">
                  <w:rPr>
                    <w:rFonts w:cstheme="minorHAnsi"/>
                    <w:sz w:val="21"/>
                    <w:szCs w:val="21"/>
                  </w:rPr>
                  <w:t>3</w:t>
                </w:r>
              </w:p>
            </w:tc>
            <w:tc>
              <w:tcPr>
                <w:tcW w:w="843" w:type="dxa"/>
              </w:tcPr>
              <w:p w14:paraId="153C06DB" w14:textId="77777777" w:rsidR="00B345FB" w:rsidRPr="00406EBF" w:rsidRDefault="00B345FB" w:rsidP="00225815">
                <w:pPr>
                  <w:jc w:val="center"/>
                  <w:rPr>
                    <w:rFonts w:cstheme="minorHAnsi"/>
                    <w:sz w:val="21"/>
                    <w:szCs w:val="21"/>
                  </w:rPr>
                </w:pPr>
                <w:r w:rsidRPr="00406EBF">
                  <w:rPr>
                    <w:rFonts w:cstheme="minorHAnsi"/>
                    <w:sz w:val="21"/>
                    <w:szCs w:val="21"/>
                  </w:rPr>
                  <w:t>1</w:t>
                </w:r>
              </w:p>
            </w:tc>
            <w:tc>
              <w:tcPr>
                <w:tcW w:w="790" w:type="dxa"/>
              </w:tcPr>
              <w:p w14:paraId="3ADFCC36" w14:textId="77777777" w:rsidR="00B345FB" w:rsidRPr="00406EBF" w:rsidRDefault="00B345FB" w:rsidP="00225815">
                <w:pPr>
                  <w:jc w:val="center"/>
                  <w:rPr>
                    <w:rFonts w:cstheme="minorHAnsi"/>
                    <w:sz w:val="21"/>
                    <w:szCs w:val="21"/>
                  </w:rPr>
                </w:pPr>
                <w:r w:rsidRPr="00406EBF">
                  <w:rPr>
                    <w:rFonts w:cstheme="minorHAnsi"/>
                    <w:sz w:val="21"/>
                    <w:szCs w:val="21"/>
                  </w:rPr>
                  <w:t>10</w:t>
                </w:r>
              </w:p>
            </w:tc>
            <w:tc>
              <w:tcPr>
                <w:tcW w:w="843" w:type="dxa"/>
              </w:tcPr>
              <w:p w14:paraId="36AA067D" w14:textId="77777777" w:rsidR="00B345FB" w:rsidRPr="00406EBF" w:rsidRDefault="00B345FB" w:rsidP="00225815">
                <w:pPr>
                  <w:jc w:val="center"/>
                  <w:rPr>
                    <w:rFonts w:cstheme="minorHAnsi"/>
                    <w:sz w:val="21"/>
                    <w:szCs w:val="21"/>
                  </w:rPr>
                </w:pPr>
                <w:r w:rsidRPr="00406EBF">
                  <w:rPr>
                    <w:rFonts w:cstheme="minorHAnsi"/>
                    <w:sz w:val="21"/>
                    <w:szCs w:val="21"/>
                  </w:rPr>
                  <w:t>0</w:t>
                </w:r>
              </w:p>
            </w:tc>
          </w:tr>
        </w:tbl>
        <w:p w14:paraId="10FF06E9" w14:textId="77777777" w:rsidR="00B345FB" w:rsidRPr="00406EBF" w:rsidRDefault="00B345FB" w:rsidP="00B345FB">
          <w:pPr>
            <w:rPr>
              <w:rFonts w:cstheme="minorHAnsi"/>
              <w:sz w:val="8"/>
              <w:szCs w:val="8"/>
            </w:rPr>
          </w:pPr>
        </w:p>
        <w:p w14:paraId="22B8C408" w14:textId="77777777" w:rsidR="007C316A" w:rsidRPr="00406EBF" w:rsidRDefault="007C316A" w:rsidP="001878CC">
          <w:pPr>
            <w:tabs>
              <w:tab w:val="left" w:pos="709"/>
            </w:tabs>
            <w:spacing w:line="240" w:lineRule="auto"/>
            <w:jc w:val="both"/>
            <w:rPr>
              <w:rFonts w:cstheme="minorHAnsi"/>
              <w:sz w:val="23"/>
              <w:szCs w:val="23"/>
            </w:rPr>
          </w:pPr>
        </w:p>
        <w:p w14:paraId="254520E7" w14:textId="77777777" w:rsidR="007C316A" w:rsidRPr="00406EBF" w:rsidRDefault="007C316A" w:rsidP="001878CC">
          <w:pPr>
            <w:tabs>
              <w:tab w:val="left" w:pos="709"/>
            </w:tabs>
            <w:spacing w:line="240" w:lineRule="auto"/>
            <w:jc w:val="both"/>
            <w:rPr>
              <w:rFonts w:cstheme="minorHAnsi"/>
              <w:sz w:val="23"/>
              <w:szCs w:val="23"/>
            </w:rPr>
          </w:pPr>
        </w:p>
        <w:p w14:paraId="680C0805" w14:textId="77777777" w:rsidR="00FF2287" w:rsidRPr="00406EBF" w:rsidRDefault="00FF2287" w:rsidP="001878CC">
          <w:pPr>
            <w:tabs>
              <w:tab w:val="left" w:pos="709"/>
            </w:tabs>
            <w:spacing w:line="240" w:lineRule="auto"/>
            <w:jc w:val="both"/>
            <w:rPr>
              <w:rFonts w:cstheme="minorHAnsi"/>
              <w:sz w:val="23"/>
              <w:szCs w:val="23"/>
            </w:rPr>
          </w:pPr>
        </w:p>
        <w:p w14:paraId="309C9A4F" w14:textId="77777777" w:rsidR="007B6AD3" w:rsidRPr="00406EBF" w:rsidRDefault="00377EF5" w:rsidP="001878CC">
          <w:pPr>
            <w:rPr>
              <w:rFonts w:eastAsiaTheme="majorEastAsia" w:cstheme="majorBidi"/>
              <w:bCs/>
              <w:i/>
              <w:sz w:val="23"/>
              <w:szCs w:val="23"/>
            </w:rPr>
          </w:pPr>
          <w:bookmarkStart w:id="184" w:name="_Toc500418637"/>
          <w:bookmarkStart w:id="185" w:name="_Toc492886126"/>
          <w:r w:rsidRPr="00406EBF">
            <w:rPr>
              <w:b/>
              <w:i/>
              <w:sz w:val="23"/>
              <w:szCs w:val="23"/>
            </w:rPr>
            <w:br w:type="page"/>
          </w:r>
        </w:p>
        <w:bookmarkEnd w:id="185" w:displacedByCustomXml="next"/>
        <w:bookmarkEnd w:id="184" w:displacedByCustomXml="next"/>
        <w:bookmarkStart w:id="186" w:name="_Toc492886128" w:displacedByCustomXml="next"/>
      </w:sdtContent>
    </w:sdt>
    <w:p w14:paraId="02D89129" w14:textId="77777777" w:rsidR="00A910A1" w:rsidRPr="00406EBF" w:rsidRDefault="00A910A1" w:rsidP="001878CC">
      <w:pPr>
        <w:pStyle w:val="Titre1"/>
        <w:keepNext w:val="0"/>
        <w:keepLines w:val="0"/>
        <w:spacing w:before="0" w:line="240" w:lineRule="auto"/>
        <w:jc w:val="both"/>
        <w:rPr>
          <w:rFonts w:asciiTheme="minorHAnsi" w:hAnsiTheme="minorHAnsi"/>
          <w:sz w:val="23"/>
          <w:szCs w:val="23"/>
        </w:rPr>
      </w:pPr>
      <w:bookmarkStart w:id="187" w:name="_Toc21339613"/>
      <w:bookmarkEnd w:id="186"/>
      <w:r w:rsidRPr="00406EBF">
        <w:rPr>
          <w:rFonts w:asciiTheme="minorHAnsi" w:hAnsiTheme="minorHAnsi"/>
          <w:color w:val="auto"/>
          <w:sz w:val="23"/>
          <w:szCs w:val="23"/>
        </w:rPr>
        <w:lastRenderedPageBreak/>
        <w:t>VI.</w:t>
      </w:r>
      <w:r w:rsidRPr="00406EBF">
        <w:rPr>
          <w:rFonts w:asciiTheme="minorHAnsi" w:hAnsiTheme="minorHAnsi"/>
          <w:color w:val="auto"/>
          <w:sz w:val="23"/>
          <w:szCs w:val="23"/>
        </w:rPr>
        <w:tab/>
      </w:r>
      <w:r w:rsidRPr="00406EBF">
        <w:rPr>
          <w:rFonts w:asciiTheme="minorHAnsi" w:hAnsiTheme="minorHAnsi"/>
          <w:color w:val="auto"/>
          <w:sz w:val="23"/>
          <w:szCs w:val="23"/>
          <w:u w:val="single"/>
        </w:rPr>
        <w:t>RECOMM</w:t>
      </w:r>
      <w:r w:rsidR="00281FC5" w:rsidRPr="00406EBF">
        <w:rPr>
          <w:rFonts w:asciiTheme="minorHAnsi" w:hAnsiTheme="minorHAnsi"/>
          <w:color w:val="auto"/>
          <w:sz w:val="23"/>
          <w:szCs w:val="23"/>
          <w:u w:val="single"/>
        </w:rPr>
        <w:t>A</w:t>
      </w:r>
      <w:r w:rsidRPr="00406EBF">
        <w:rPr>
          <w:rFonts w:asciiTheme="minorHAnsi" w:hAnsiTheme="minorHAnsi"/>
          <w:color w:val="auto"/>
          <w:sz w:val="23"/>
          <w:szCs w:val="23"/>
          <w:u w:val="single"/>
        </w:rPr>
        <w:t xml:space="preserve">NDATIONS </w:t>
      </w:r>
      <w:r w:rsidR="00281FC5" w:rsidRPr="00406EBF">
        <w:rPr>
          <w:rFonts w:asciiTheme="minorHAnsi" w:hAnsiTheme="minorHAnsi"/>
          <w:color w:val="auto"/>
          <w:sz w:val="23"/>
          <w:szCs w:val="23"/>
          <w:u w:val="single"/>
        </w:rPr>
        <w:t>ET SUIVI</w:t>
      </w:r>
      <w:bookmarkEnd w:id="187"/>
    </w:p>
    <w:sdt>
      <w:sdtPr>
        <w:rPr>
          <w:rFonts w:asciiTheme="majorHAnsi" w:eastAsiaTheme="majorEastAsia" w:hAnsiTheme="majorHAnsi" w:cstheme="majorBidi"/>
          <w:b/>
          <w:bCs/>
          <w:color w:val="365F91" w:themeColor="accent1" w:themeShade="BF"/>
          <w:sz w:val="27"/>
          <w:szCs w:val="27"/>
          <w:lang w:val="en-US"/>
        </w:rPr>
        <w:tag w:val="{1342E639-2AA7-4331-B120-007B4A235B6A}"/>
        <w:id w:val="1242676257"/>
        <w:lock w:val="sdtLocked"/>
      </w:sdtPr>
      <w:sdtEndPr/>
      <w:sdtContent>
        <w:p w14:paraId="494577CF" w14:textId="77777777" w:rsidR="001533B7" w:rsidRPr="00406EBF" w:rsidRDefault="001533B7" w:rsidP="001878CC">
          <w:pPr>
            <w:spacing w:line="240" w:lineRule="auto"/>
            <w:jc w:val="both"/>
            <w:rPr>
              <w:rFonts w:cstheme="minorHAnsi"/>
              <w:sz w:val="23"/>
              <w:szCs w:val="23"/>
            </w:rPr>
          </w:pPr>
        </w:p>
        <w:p w14:paraId="09121699" w14:textId="77777777" w:rsidR="00A910A1" w:rsidRPr="00406EBF" w:rsidRDefault="00746CD4" w:rsidP="001878CC">
          <w:pPr>
            <w:numPr>
              <w:ilvl w:val="0"/>
              <w:numId w:val="1"/>
            </w:numPr>
            <w:tabs>
              <w:tab w:val="left" w:pos="709"/>
            </w:tabs>
            <w:spacing w:line="240" w:lineRule="auto"/>
            <w:ind w:left="0" w:firstLine="0"/>
            <w:jc w:val="both"/>
            <w:rPr>
              <w:rFonts w:cstheme="minorHAnsi"/>
              <w:sz w:val="23"/>
              <w:szCs w:val="23"/>
            </w:rPr>
          </w:pPr>
          <w:r w:rsidRPr="00406EBF">
            <w:rPr>
              <w:sz w:val="23"/>
              <w:szCs w:val="23"/>
            </w:rPr>
            <w:t xml:space="preserve">Au vu des conclusions du présent rapport, le GRECO adresse les recommandations suivantes à </w:t>
          </w:r>
          <w:r w:rsidR="00C12B2F" w:rsidRPr="00406EBF">
            <w:rPr>
              <w:sz w:val="23"/>
              <w:szCs w:val="23"/>
            </w:rPr>
            <w:t>la Belgique</w:t>
          </w:r>
          <w:r w:rsidRPr="00406EBF">
            <w:rPr>
              <w:sz w:val="23"/>
              <w:szCs w:val="23"/>
            </w:rPr>
            <w:t xml:space="preserve"> </w:t>
          </w:r>
          <w:r w:rsidR="00A910A1" w:rsidRPr="00406EBF">
            <w:rPr>
              <w:sz w:val="23"/>
              <w:szCs w:val="23"/>
            </w:rPr>
            <w:t xml:space="preserve">: </w:t>
          </w:r>
        </w:p>
        <w:p w14:paraId="15F9A042" w14:textId="77777777" w:rsidR="00A910A1" w:rsidRPr="00406EBF" w:rsidRDefault="00A910A1" w:rsidP="001878CC">
          <w:pPr>
            <w:tabs>
              <w:tab w:val="left" w:pos="709"/>
            </w:tabs>
            <w:spacing w:line="240" w:lineRule="auto"/>
            <w:ind w:left="567" w:hanging="567"/>
            <w:jc w:val="both"/>
            <w:rPr>
              <w:sz w:val="23"/>
              <w:szCs w:val="23"/>
            </w:rPr>
          </w:pPr>
        </w:p>
        <w:p w14:paraId="2485D20E" w14:textId="77777777" w:rsidR="00A910A1" w:rsidRPr="00406EBF" w:rsidRDefault="00A910A1" w:rsidP="001878CC">
          <w:pPr>
            <w:spacing w:line="240" w:lineRule="auto"/>
            <w:ind w:left="426" w:hanging="426"/>
            <w:jc w:val="both"/>
            <w:rPr>
              <w:i/>
              <w:sz w:val="23"/>
              <w:szCs w:val="23"/>
            </w:rPr>
          </w:pPr>
          <w:r w:rsidRPr="00406EBF">
            <w:rPr>
              <w:i/>
              <w:sz w:val="23"/>
              <w:szCs w:val="23"/>
            </w:rPr>
            <w:tab/>
          </w:r>
          <w:r w:rsidR="00746CD4" w:rsidRPr="00406EBF">
            <w:rPr>
              <w:i/>
              <w:sz w:val="23"/>
              <w:szCs w:val="23"/>
            </w:rPr>
            <w:t>En ce qui concerne les gouvernements centraux (hautes fonctions de l’exécutif)</w:t>
          </w:r>
        </w:p>
        <w:p w14:paraId="3CD820E7" w14:textId="5CBE9E83" w:rsidR="00A910A1" w:rsidRDefault="00A910A1" w:rsidP="001878CC">
          <w:pPr>
            <w:tabs>
              <w:tab w:val="left" w:pos="709"/>
            </w:tabs>
            <w:spacing w:line="240" w:lineRule="auto"/>
            <w:ind w:left="567" w:hanging="567"/>
            <w:jc w:val="both"/>
            <w:rPr>
              <w:i/>
              <w:sz w:val="23"/>
              <w:szCs w:val="23"/>
            </w:rPr>
          </w:pPr>
        </w:p>
        <w:p w14:paraId="17C61933"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b/>
              <w:sz w:val="23"/>
              <w:szCs w:val="23"/>
            </w:rPr>
            <w:t xml:space="preserve">(i) d’encadrer les conditions de recrutement direct et d’emploi des membres des organes stratégiques/cabinets au regard des risques relatifs à l’intégrité et aux conflits d’intérêts et (ii) que les noms et fonctions de tous les « collaborateurs </w:t>
          </w:r>
          <w:r>
            <w:rPr>
              <w:b/>
              <w:sz w:val="23"/>
              <w:szCs w:val="23"/>
            </w:rPr>
            <w:t>de fond</w:t>
          </w:r>
          <w:r w:rsidRPr="00406EBF">
            <w:rPr>
              <w:b/>
              <w:sz w:val="23"/>
              <w:szCs w:val="23"/>
            </w:rPr>
            <w:t> » soient publiés sur les sites internet du gouvernement</w:t>
          </w:r>
          <w:r w:rsidRPr="00EE2C9E">
            <w:rPr>
              <w:sz w:val="23"/>
              <w:szCs w:val="23"/>
            </w:rPr>
            <w:t xml:space="preserve"> (paragraphe 36)</w:t>
          </w:r>
          <w:r>
            <w:rPr>
              <w:sz w:val="23"/>
              <w:szCs w:val="23"/>
            </w:rPr>
            <w:t xml:space="preserve"> </w:t>
          </w:r>
          <w:r w:rsidRPr="00EE2C9E">
            <w:rPr>
              <w:b/>
              <w:sz w:val="23"/>
              <w:szCs w:val="23"/>
            </w:rPr>
            <w:t>;</w:t>
          </w:r>
        </w:p>
        <w:p w14:paraId="25C17373" w14:textId="77777777" w:rsidR="00FC301F" w:rsidRPr="00EE2C9E" w:rsidRDefault="00FC301F" w:rsidP="00FC301F">
          <w:pPr>
            <w:pStyle w:val="Paragraphedeliste"/>
            <w:ind w:left="1080"/>
            <w:jc w:val="both"/>
            <w:rPr>
              <w:b/>
              <w:sz w:val="23"/>
              <w:szCs w:val="23"/>
            </w:rPr>
          </w:pPr>
        </w:p>
        <w:p w14:paraId="0976C5EB"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 xml:space="preserve">(i) d’adopter un </w:t>
          </w:r>
          <w:r>
            <w:rPr>
              <w:rFonts w:cstheme="minorHAnsi"/>
              <w:b/>
              <w:sz w:val="23"/>
              <w:szCs w:val="23"/>
            </w:rPr>
            <w:t>code de</w:t>
          </w:r>
          <w:r w:rsidRPr="00406EBF">
            <w:rPr>
              <w:rFonts w:cstheme="minorHAnsi"/>
              <w:b/>
              <w:sz w:val="23"/>
              <w:szCs w:val="23"/>
            </w:rPr>
            <w:t xml:space="preserve"> déontologie à l’intention des ministres et de s’assurer que les membres des organes stratégiques/cabinets bénéficient d’un cadre déontologique clair et harmonisé et (ii) que ce</w:t>
          </w:r>
          <w:r>
            <w:rPr>
              <w:rFonts w:cstheme="minorHAnsi"/>
              <w:b/>
              <w:sz w:val="23"/>
              <w:szCs w:val="23"/>
            </w:rPr>
            <w:t>/ces</w:t>
          </w:r>
          <w:r w:rsidRPr="00406EBF">
            <w:rPr>
              <w:rFonts w:cstheme="minorHAnsi"/>
              <w:b/>
              <w:sz w:val="23"/>
              <w:szCs w:val="23"/>
            </w:rPr>
            <w:t xml:space="preserve"> c</w:t>
          </w:r>
          <w:r>
            <w:rPr>
              <w:rFonts w:cstheme="minorHAnsi"/>
              <w:b/>
              <w:sz w:val="23"/>
              <w:szCs w:val="23"/>
            </w:rPr>
            <w:t>ode(s)</w:t>
          </w:r>
          <w:r w:rsidRPr="00406EBF">
            <w:rPr>
              <w:rFonts w:cstheme="minorHAnsi"/>
              <w:b/>
              <w:sz w:val="23"/>
              <w:szCs w:val="23"/>
            </w:rPr>
            <w:t xml:space="preserve"> soi</w:t>
          </w:r>
          <w:r>
            <w:rPr>
              <w:rFonts w:cstheme="minorHAnsi"/>
              <w:b/>
              <w:sz w:val="23"/>
              <w:szCs w:val="23"/>
            </w:rPr>
            <w:t>(en)</w:t>
          </w:r>
          <w:r w:rsidRPr="00406EBF">
            <w:rPr>
              <w:rFonts w:cstheme="minorHAnsi"/>
              <w:b/>
              <w:sz w:val="23"/>
              <w:szCs w:val="23"/>
            </w:rPr>
            <w:t>t assorti</w:t>
          </w:r>
          <w:r>
            <w:rPr>
              <w:rFonts w:cstheme="minorHAnsi"/>
              <w:b/>
              <w:sz w:val="23"/>
              <w:szCs w:val="23"/>
            </w:rPr>
            <w:t>(s)</w:t>
          </w:r>
          <w:r w:rsidRPr="00406EBF">
            <w:rPr>
              <w:rFonts w:cstheme="minorHAnsi"/>
              <w:b/>
              <w:sz w:val="23"/>
              <w:szCs w:val="23"/>
            </w:rPr>
            <w:t xml:space="preserve"> d’un mécanisme de supervision et de sanction</w:t>
          </w:r>
          <w:r w:rsidRPr="00EE2C9E">
            <w:rPr>
              <w:rFonts w:cstheme="minorHAnsi"/>
              <w:b/>
              <w:sz w:val="23"/>
              <w:szCs w:val="23"/>
            </w:rPr>
            <w:t xml:space="preserve"> </w:t>
          </w:r>
          <w:r w:rsidRPr="00EE2C9E">
            <w:rPr>
              <w:sz w:val="23"/>
              <w:szCs w:val="23"/>
            </w:rPr>
            <w:t>(paragraphe 45)</w:t>
          </w:r>
          <w:r>
            <w:rPr>
              <w:sz w:val="23"/>
              <w:szCs w:val="23"/>
            </w:rPr>
            <w:t xml:space="preserve"> </w:t>
          </w:r>
          <w:r w:rsidRPr="00EE2C9E">
            <w:rPr>
              <w:b/>
              <w:sz w:val="23"/>
              <w:szCs w:val="23"/>
            </w:rPr>
            <w:t>;</w:t>
          </w:r>
        </w:p>
        <w:p w14:paraId="2C937242" w14:textId="77777777" w:rsidR="00FC301F" w:rsidRPr="00EE2C9E" w:rsidRDefault="00FC301F" w:rsidP="00FC301F">
          <w:pPr>
            <w:pStyle w:val="Paragraphedeliste"/>
            <w:jc w:val="both"/>
            <w:rPr>
              <w:b/>
              <w:sz w:val="23"/>
              <w:szCs w:val="23"/>
            </w:rPr>
          </w:pPr>
        </w:p>
        <w:p w14:paraId="2F93160F" w14:textId="77777777" w:rsidR="00FC301F" w:rsidRPr="00EE2C9E" w:rsidRDefault="00FC301F" w:rsidP="00FC301F">
          <w:pPr>
            <w:pStyle w:val="Paragraphedeliste"/>
            <w:numPr>
              <w:ilvl w:val="0"/>
              <w:numId w:val="49"/>
            </w:numPr>
            <w:spacing w:after="160" w:line="259" w:lineRule="auto"/>
            <w:jc w:val="both"/>
            <w:rPr>
              <w:b/>
              <w:sz w:val="23"/>
              <w:szCs w:val="23"/>
            </w:rPr>
          </w:pPr>
          <w:r>
            <w:rPr>
              <w:rFonts w:cstheme="minorHAnsi"/>
              <w:b/>
              <w:sz w:val="23"/>
              <w:szCs w:val="23"/>
            </w:rPr>
            <w:t>(i)</w:t>
          </w:r>
          <w:r w:rsidRPr="00406EBF">
            <w:rPr>
              <w:rFonts w:cstheme="minorHAnsi"/>
              <w:b/>
              <w:sz w:val="23"/>
              <w:szCs w:val="23"/>
            </w:rPr>
            <w:t xml:space="preserve"> de s’assurer que </w:t>
          </w:r>
          <w:r>
            <w:rPr>
              <w:rFonts w:cstheme="minorHAnsi"/>
              <w:b/>
              <w:sz w:val="23"/>
              <w:szCs w:val="23"/>
            </w:rPr>
            <w:t xml:space="preserve">toutes </w:t>
          </w:r>
          <w:r w:rsidRPr="00406EBF">
            <w:rPr>
              <w:rFonts w:cstheme="minorHAnsi"/>
              <w:b/>
              <w:sz w:val="23"/>
              <w:szCs w:val="23"/>
            </w:rPr>
            <w:t>les personnes chargées de hautes fonctions de l’exécutif aient accès à un mécanisme de promotion et de sensibilisation à l’intégrité comprenant un conseil confidentiel</w:t>
          </w:r>
          <w:r>
            <w:rPr>
              <w:rFonts w:cstheme="minorHAnsi"/>
              <w:b/>
              <w:sz w:val="23"/>
              <w:szCs w:val="23"/>
            </w:rPr>
            <w:t xml:space="preserve"> ; (ii) que ces personnes bénéficient d’une </w:t>
          </w:r>
          <w:r w:rsidRPr="00406EBF">
            <w:rPr>
              <w:rFonts w:cstheme="minorHAnsi"/>
              <w:b/>
              <w:sz w:val="23"/>
              <w:szCs w:val="23"/>
            </w:rPr>
            <w:t>formation dès leur prise de fonction et à intervalles réguliers par la suite</w:t>
          </w:r>
          <w:r w:rsidRPr="00EE2C9E">
            <w:rPr>
              <w:rFonts w:cstheme="minorHAnsi"/>
              <w:b/>
              <w:sz w:val="23"/>
              <w:szCs w:val="23"/>
            </w:rPr>
            <w:t xml:space="preserve"> </w:t>
          </w:r>
          <w:r w:rsidRPr="00EE2C9E">
            <w:rPr>
              <w:sz w:val="23"/>
              <w:szCs w:val="23"/>
            </w:rPr>
            <w:t>(paragraphe 49)</w:t>
          </w:r>
          <w:r>
            <w:rPr>
              <w:sz w:val="23"/>
              <w:szCs w:val="23"/>
            </w:rPr>
            <w:t xml:space="preserve"> </w:t>
          </w:r>
          <w:r w:rsidRPr="00EE2C9E">
            <w:rPr>
              <w:b/>
              <w:sz w:val="23"/>
              <w:szCs w:val="23"/>
            </w:rPr>
            <w:t>;</w:t>
          </w:r>
        </w:p>
        <w:p w14:paraId="38C20D40" w14:textId="77777777" w:rsidR="00FC301F" w:rsidRPr="00EE2C9E" w:rsidRDefault="00FC301F" w:rsidP="00FC301F">
          <w:pPr>
            <w:pStyle w:val="Paragraphedeliste"/>
            <w:jc w:val="both"/>
            <w:rPr>
              <w:b/>
              <w:sz w:val="23"/>
              <w:szCs w:val="23"/>
            </w:rPr>
          </w:pPr>
        </w:p>
        <w:p w14:paraId="078314E3"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de s’assurer que les organes stratégiques/cabinets soient clairement soumis au champ d’application de la loi relative à la publicité de l’administration</w:t>
          </w:r>
          <w:r w:rsidRPr="00EE2C9E">
            <w:rPr>
              <w:rFonts w:cstheme="minorHAnsi"/>
              <w:b/>
              <w:sz w:val="23"/>
              <w:szCs w:val="23"/>
            </w:rPr>
            <w:t xml:space="preserve"> </w:t>
          </w:r>
          <w:r w:rsidRPr="00EE2C9E">
            <w:rPr>
              <w:sz w:val="23"/>
              <w:szCs w:val="23"/>
            </w:rPr>
            <w:t>(paragraphe 53)</w:t>
          </w:r>
          <w:r>
            <w:rPr>
              <w:sz w:val="23"/>
              <w:szCs w:val="23"/>
            </w:rPr>
            <w:t xml:space="preserve"> </w:t>
          </w:r>
          <w:r w:rsidRPr="00EE2C9E">
            <w:rPr>
              <w:b/>
              <w:sz w:val="23"/>
              <w:szCs w:val="23"/>
            </w:rPr>
            <w:t>;</w:t>
          </w:r>
        </w:p>
        <w:p w14:paraId="4AC50AA0" w14:textId="77777777" w:rsidR="00FC301F" w:rsidRPr="00EE2C9E" w:rsidRDefault="00FC301F" w:rsidP="00FC301F">
          <w:pPr>
            <w:pStyle w:val="Paragraphedeliste"/>
            <w:jc w:val="both"/>
            <w:rPr>
              <w:b/>
              <w:sz w:val="23"/>
              <w:szCs w:val="23"/>
            </w:rPr>
          </w:pPr>
        </w:p>
        <w:p w14:paraId="043584E1"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 xml:space="preserve">de s’assurer que les dossiers </w:t>
          </w:r>
          <w:r>
            <w:rPr>
              <w:rFonts w:cstheme="minorHAnsi"/>
              <w:b/>
              <w:sz w:val="23"/>
              <w:szCs w:val="23"/>
            </w:rPr>
            <w:t xml:space="preserve">du gouvernement, </w:t>
          </w:r>
          <w:r w:rsidRPr="00406EBF">
            <w:rPr>
              <w:rFonts w:cstheme="minorHAnsi"/>
              <w:b/>
              <w:sz w:val="23"/>
              <w:szCs w:val="23"/>
            </w:rPr>
            <w:t>des ministres et de leurs organes stratégiques/cabinets soient conservés de manière appropriée et qu’ils soient disponibles pour leurs successeurs afin d’assurer la bonne marche des affaires</w:t>
          </w:r>
          <w:r w:rsidRPr="00EE2C9E">
            <w:rPr>
              <w:rFonts w:cstheme="minorHAnsi"/>
              <w:b/>
              <w:sz w:val="23"/>
              <w:szCs w:val="23"/>
            </w:rPr>
            <w:t xml:space="preserve"> </w:t>
          </w:r>
          <w:r w:rsidRPr="00EE2C9E">
            <w:rPr>
              <w:sz w:val="23"/>
              <w:szCs w:val="23"/>
            </w:rPr>
            <w:t>(paragraphe 54)</w:t>
          </w:r>
          <w:r>
            <w:rPr>
              <w:sz w:val="23"/>
              <w:szCs w:val="23"/>
            </w:rPr>
            <w:t xml:space="preserve"> </w:t>
          </w:r>
          <w:r w:rsidRPr="00EE2C9E">
            <w:rPr>
              <w:b/>
              <w:sz w:val="23"/>
              <w:szCs w:val="23"/>
            </w:rPr>
            <w:t>;</w:t>
          </w:r>
        </w:p>
        <w:p w14:paraId="14375CAB" w14:textId="77777777" w:rsidR="00FC301F" w:rsidRPr="00EE2C9E" w:rsidRDefault="00FC301F" w:rsidP="00FC301F">
          <w:pPr>
            <w:pStyle w:val="Paragraphedeliste"/>
            <w:jc w:val="both"/>
            <w:rPr>
              <w:b/>
              <w:sz w:val="23"/>
              <w:szCs w:val="23"/>
            </w:rPr>
          </w:pPr>
        </w:p>
        <w:p w14:paraId="2AEAD70D"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 xml:space="preserve">(i) d’assurer un niveau approprié de consultation publique sur les projets de loi </w:t>
          </w:r>
          <w:r>
            <w:rPr>
              <w:rFonts w:cstheme="minorHAnsi"/>
              <w:b/>
              <w:sz w:val="23"/>
              <w:szCs w:val="23"/>
            </w:rPr>
            <w:t>émanant du</w:t>
          </w:r>
          <w:r w:rsidRPr="00406EBF">
            <w:rPr>
              <w:rFonts w:cstheme="minorHAnsi"/>
              <w:b/>
              <w:sz w:val="23"/>
              <w:szCs w:val="23"/>
            </w:rPr>
            <w:t xml:space="preserve"> gouvernement et (ii) que le résultat des consultations publiques soit publié en ligne en temps opportun et facilement accessible</w:t>
          </w:r>
          <w:r w:rsidRPr="00EE2C9E">
            <w:rPr>
              <w:rFonts w:cstheme="minorHAnsi"/>
              <w:b/>
              <w:sz w:val="23"/>
              <w:szCs w:val="23"/>
            </w:rPr>
            <w:t xml:space="preserve"> </w:t>
          </w:r>
          <w:r w:rsidRPr="00EE2C9E">
            <w:rPr>
              <w:sz w:val="23"/>
              <w:szCs w:val="23"/>
            </w:rPr>
            <w:t>(paragraphe 57)</w:t>
          </w:r>
          <w:r>
            <w:rPr>
              <w:sz w:val="23"/>
              <w:szCs w:val="23"/>
            </w:rPr>
            <w:t xml:space="preserve"> </w:t>
          </w:r>
          <w:r w:rsidRPr="00EE2C9E">
            <w:rPr>
              <w:b/>
              <w:sz w:val="23"/>
              <w:szCs w:val="23"/>
            </w:rPr>
            <w:t>;</w:t>
          </w:r>
        </w:p>
        <w:p w14:paraId="0E48D9C7" w14:textId="77777777" w:rsidR="00FC301F" w:rsidRPr="00EE2C9E" w:rsidRDefault="00FC301F" w:rsidP="00FC301F">
          <w:pPr>
            <w:pStyle w:val="Paragraphedeliste"/>
            <w:jc w:val="both"/>
            <w:rPr>
              <w:b/>
              <w:sz w:val="23"/>
              <w:szCs w:val="23"/>
            </w:rPr>
          </w:pPr>
        </w:p>
        <w:p w14:paraId="1BD768C8"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(i) d’introduire des règles et lignes directrices relatives à la manière dont les personnes occupant de hautes fonctions de l’exécutif gèrent leurs contacts avec des lobbyistes et d’autres tiers cherchant à influencer les processus et les décisions du gouvernement ; et (ii) renforcer la transparence sur l’objet de ces contacts, comme l’identité des personnes avec lesquelles (ou pour le compte desquelles) la rencontre a eu lieu et l’objet précis de ces discussions</w:t>
          </w:r>
          <w:r w:rsidRPr="00EE2C9E">
            <w:rPr>
              <w:rFonts w:cstheme="minorHAnsi"/>
              <w:b/>
              <w:sz w:val="23"/>
              <w:szCs w:val="23"/>
            </w:rPr>
            <w:t xml:space="preserve"> </w:t>
          </w:r>
          <w:r w:rsidRPr="00EE2C9E">
            <w:rPr>
              <w:sz w:val="23"/>
              <w:szCs w:val="23"/>
            </w:rPr>
            <w:t>(paragraphe 60)</w:t>
          </w:r>
          <w:r w:rsidRPr="00EE2C9E">
            <w:rPr>
              <w:b/>
              <w:sz w:val="23"/>
              <w:szCs w:val="23"/>
            </w:rPr>
            <w:t>;</w:t>
          </w:r>
        </w:p>
        <w:p w14:paraId="31DB910E" w14:textId="77777777" w:rsidR="00FC301F" w:rsidRPr="00EE2C9E" w:rsidRDefault="00FC301F" w:rsidP="00FC301F">
          <w:pPr>
            <w:pStyle w:val="Paragraphedeliste"/>
            <w:jc w:val="both"/>
            <w:rPr>
              <w:b/>
              <w:sz w:val="23"/>
              <w:szCs w:val="23"/>
            </w:rPr>
          </w:pPr>
        </w:p>
        <w:p w14:paraId="4F589C1A"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lang w:val="fr-BE"/>
            </w:rPr>
            <w:t xml:space="preserve">qu’une exigence de </w:t>
          </w:r>
          <w:r>
            <w:rPr>
              <w:rFonts w:cstheme="minorHAnsi"/>
              <w:b/>
              <w:sz w:val="23"/>
              <w:szCs w:val="23"/>
              <w:lang w:val="fr-BE"/>
            </w:rPr>
            <w:t>signalement</w:t>
          </w:r>
          <w:r w:rsidRPr="00406EBF">
            <w:rPr>
              <w:rFonts w:cstheme="minorHAnsi"/>
              <w:b/>
              <w:sz w:val="23"/>
              <w:szCs w:val="23"/>
              <w:lang w:val="fr-BE"/>
            </w:rPr>
            <w:t xml:space="preserve"> ad hoc soit introduite à l’égard des personnes occupant de hautes fonctions de l’exécutif lorsque surviennent des situations de conflit entre leurs intérêts privés et leurs fonctions officielles</w:t>
          </w:r>
          <w:r w:rsidRPr="00EE2C9E">
            <w:rPr>
              <w:rFonts w:cstheme="minorHAnsi"/>
              <w:b/>
              <w:sz w:val="23"/>
              <w:szCs w:val="23"/>
            </w:rPr>
            <w:t xml:space="preserve"> </w:t>
          </w:r>
          <w:r w:rsidRPr="00EE2C9E">
            <w:rPr>
              <w:sz w:val="23"/>
              <w:szCs w:val="23"/>
            </w:rPr>
            <w:t>(paragraphe 77)</w:t>
          </w:r>
          <w:r>
            <w:rPr>
              <w:sz w:val="23"/>
              <w:szCs w:val="23"/>
            </w:rPr>
            <w:t xml:space="preserve"> </w:t>
          </w:r>
          <w:r w:rsidRPr="00EE2C9E">
            <w:rPr>
              <w:b/>
              <w:sz w:val="23"/>
              <w:szCs w:val="23"/>
            </w:rPr>
            <w:t>;</w:t>
          </w:r>
        </w:p>
        <w:p w14:paraId="15697F5E" w14:textId="77777777" w:rsidR="00FC301F" w:rsidRPr="00EE2C9E" w:rsidRDefault="00FC301F" w:rsidP="00FC301F">
          <w:pPr>
            <w:pStyle w:val="Paragraphedeliste"/>
            <w:jc w:val="both"/>
            <w:rPr>
              <w:b/>
              <w:sz w:val="23"/>
              <w:szCs w:val="23"/>
            </w:rPr>
          </w:pPr>
        </w:p>
        <w:p w14:paraId="0B47FE89"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lastRenderedPageBreak/>
            <w:t>d’établir des règles complètes en matière de cadeaux et autres avantages pour les personnes occupant de hautes fonctions de l’exécutif, sous la forme de directives pratiques pertinentes, de l’obligation de déclaration des cadeaux et autres avantages et d’information du public</w:t>
          </w:r>
          <w:r w:rsidRPr="00EE2C9E">
            <w:rPr>
              <w:rFonts w:cstheme="minorHAnsi"/>
              <w:b/>
              <w:sz w:val="23"/>
              <w:szCs w:val="23"/>
            </w:rPr>
            <w:t xml:space="preserve"> </w:t>
          </w:r>
          <w:r w:rsidRPr="00EE2C9E">
            <w:rPr>
              <w:sz w:val="23"/>
              <w:szCs w:val="23"/>
            </w:rPr>
            <w:t>(paragraphe 84)</w:t>
          </w:r>
          <w:r>
            <w:rPr>
              <w:sz w:val="23"/>
              <w:szCs w:val="23"/>
            </w:rPr>
            <w:t xml:space="preserve"> </w:t>
          </w:r>
          <w:r w:rsidRPr="00EE2C9E">
            <w:rPr>
              <w:b/>
              <w:sz w:val="23"/>
              <w:szCs w:val="23"/>
            </w:rPr>
            <w:t>;</w:t>
          </w:r>
        </w:p>
        <w:p w14:paraId="63FC88E3" w14:textId="77777777" w:rsidR="00FC301F" w:rsidRPr="00EE2C9E" w:rsidRDefault="00FC301F" w:rsidP="00FC301F">
          <w:pPr>
            <w:pStyle w:val="Paragraphedeliste"/>
            <w:jc w:val="both"/>
            <w:rPr>
              <w:b/>
              <w:sz w:val="23"/>
              <w:szCs w:val="23"/>
            </w:rPr>
          </w:pPr>
        </w:p>
        <w:p w14:paraId="6A1C525D"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(i) d’établir une obligation d’informer, durant une certaine période, un organe approprié de toute nouvelle activité professionnelle entreprise par une personne occupant de hautes fonctions de l’exécutif ; (ii) et, après analyse, encadrer ou prohiber, le cas échéant, ladite activité pour écarter tout soupçon de conflit d’intérêt lorsqu’elle intervient dans un domaine relevant d’un régime d’autorisation ou de surveillance par l’entité que quitte cette personne</w:t>
          </w:r>
          <w:r w:rsidRPr="00EE2C9E">
            <w:rPr>
              <w:rFonts w:cstheme="minorHAnsi"/>
              <w:b/>
              <w:sz w:val="23"/>
              <w:szCs w:val="23"/>
            </w:rPr>
            <w:t xml:space="preserve"> </w:t>
          </w:r>
          <w:r w:rsidRPr="00EE2C9E">
            <w:rPr>
              <w:sz w:val="23"/>
              <w:szCs w:val="23"/>
            </w:rPr>
            <w:t>(paragraphe 89)</w:t>
          </w:r>
          <w:r>
            <w:rPr>
              <w:sz w:val="23"/>
              <w:szCs w:val="23"/>
            </w:rPr>
            <w:t xml:space="preserve"> </w:t>
          </w:r>
          <w:r w:rsidRPr="00EE2C9E">
            <w:rPr>
              <w:b/>
              <w:sz w:val="23"/>
              <w:szCs w:val="23"/>
            </w:rPr>
            <w:t>;</w:t>
          </w:r>
        </w:p>
        <w:p w14:paraId="5B90BB2F" w14:textId="77777777" w:rsidR="00FC301F" w:rsidRPr="00EE2C9E" w:rsidRDefault="00FC301F" w:rsidP="00FC301F">
          <w:pPr>
            <w:pStyle w:val="Paragraphedeliste"/>
            <w:jc w:val="both"/>
            <w:rPr>
              <w:b/>
              <w:sz w:val="23"/>
              <w:szCs w:val="23"/>
            </w:rPr>
          </w:pPr>
        </w:p>
        <w:p w14:paraId="5A69EE83"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(i) que le régime des déclarations publiées des personnes occupant de hautes fonctions de l’exécutif inclue également des informations pertinentes sur leur patrimoine, y compris des éléments du passif, ainsi que leurs activités antérieures et leurs activités accessoires ; (ii) d’envisager d’inclure également des informations sur les conjoints et les membres dépendants de la famille de ces personnes (étant entendu que ces informations n’auraient pas nécessairement vocation à être rendues publiques)</w:t>
          </w:r>
          <w:r w:rsidRPr="00EE2C9E">
            <w:rPr>
              <w:rFonts w:cstheme="minorHAnsi"/>
              <w:b/>
              <w:sz w:val="23"/>
              <w:szCs w:val="23"/>
            </w:rPr>
            <w:t xml:space="preserve"> </w:t>
          </w:r>
          <w:r w:rsidRPr="00EE2C9E">
            <w:rPr>
              <w:sz w:val="23"/>
              <w:szCs w:val="23"/>
            </w:rPr>
            <w:t>(paragraphe 96)</w:t>
          </w:r>
          <w:r>
            <w:rPr>
              <w:sz w:val="23"/>
              <w:szCs w:val="23"/>
            </w:rPr>
            <w:t xml:space="preserve"> </w:t>
          </w:r>
          <w:r w:rsidRPr="00EE2C9E">
            <w:rPr>
              <w:b/>
              <w:sz w:val="23"/>
              <w:szCs w:val="23"/>
            </w:rPr>
            <w:t>;</w:t>
          </w:r>
        </w:p>
        <w:p w14:paraId="2CEFFBC5" w14:textId="77777777" w:rsidR="00FC301F" w:rsidRPr="00EE2C9E" w:rsidRDefault="00FC301F" w:rsidP="00FC301F">
          <w:pPr>
            <w:pStyle w:val="Paragraphedeliste"/>
            <w:jc w:val="both"/>
            <w:rPr>
              <w:b/>
              <w:sz w:val="23"/>
              <w:szCs w:val="23"/>
            </w:rPr>
          </w:pPr>
        </w:p>
        <w:p w14:paraId="0D9A88CA"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 xml:space="preserve">que les modalités de déclaration et de contrôle soient profondément remaniées afin d’assurer une publication </w:t>
          </w:r>
          <w:r>
            <w:rPr>
              <w:rFonts w:cstheme="minorHAnsi"/>
              <w:b/>
              <w:sz w:val="23"/>
              <w:szCs w:val="23"/>
            </w:rPr>
            <w:t xml:space="preserve">plus rapide, ainsi </w:t>
          </w:r>
          <w:r w:rsidRPr="00406EBF">
            <w:rPr>
              <w:rFonts w:cstheme="minorHAnsi"/>
              <w:b/>
              <w:sz w:val="23"/>
              <w:szCs w:val="23"/>
            </w:rPr>
            <w:t>qu’un contrôle proactif et effectif</w:t>
          </w:r>
          <w:r>
            <w:rPr>
              <w:rFonts w:cstheme="minorHAnsi"/>
              <w:b/>
              <w:sz w:val="23"/>
              <w:szCs w:val="23"/>
            </w:rPr>
            <w:t>,</w:t>
          </w:r>
          <w:r w:rsidRPr="00406EBF">
            <w:rPr>
              <w:rFonts w:cstheme="minorHAnsi"/>
              <w:b/>
              <w:sz w:val="23"/>
              <w:szCs w:val="23"/>
            </w:rPr>
            <w:t xml:space="preserve"> </w:t>
          </w:r>
          <w:r>
            <w:rPr>
              <w:rFonts w:cstheme="minorHAnsi"/>
              <w:b/>
              <w:sz w:val="23"/>
              <w:szCs w:val="23"/>
            </w:rPr>
            <w:t>de ce</w:t>
          </w:r>
          <w:r w:rsidRPr="00406EBF">
            <w:rPr>
              <w:rFonts w:cstheme="minorHAnsi"/>
              <w:b/>
              <w:sz w:val="23"/>
              <w:szCs w:val="23"/>
            </w:rPr>
            <w:t>s déclarations</w:t>
          </w:r>
          <w:r w:rsidRPr="00EE2C9E">
            <w:rPr>
              <w:rFonts w:cstheme="minorHAnsi"/>
              <w:b/>
              <w:sz w:val="23"/>
              <w:szCs w:val="23"/>
            </w:rPr>
            <w:t xml:space="preserve"> </w:t>
          </w:r>
          <w:r w:rsidRPr="00EE2C9E">
            <w:rPr>
              <w:sz w:val="23"/>
              <w:szCs w:val="23"/>
            </w:rPr>
            <w:t>(paragraphe 106)</w:t>
          </w:r>
          <w:r>
            <w:rPr>
              <w:sz w:val="23"/>
              <w:szCs w:val="23"/>
            </w:rPr>
            <w:t xml:space="preserve"> </w:t>
          </w:r>
          <w:r w:rsidRPr="00EE2C9E">
            <w:rPr>
              <w:b/>
              <w:sz w:val="23"/>
              <w:szCs w:val="23"/>
            </w:rPr>
            <w:t>;</w:t>
          </w:r>
        </w:p>
        <w:p w14:paraId="7C7E6726" w14:textId="77777777" w:rsidR="00FC301F" w:rsidRPr="00EE2C9E" w:rsidRDefault="00FC301F" w:rsidP="00FC301F">
          <w:pPr>
            <w:pStyle w:val="Paragraphedeliste"/>
            <w:jc w:val="both"/>
            <w:rPr>
              <w:b/>
              <w:sz w:val="23"/>
              <w:szCs w:val="23"/>
            </w:rPr>
          </w:pPr>
        </w:p>
        <w:p w14:paraId="18481EBC" w14:textId="2060361D" w:rsidR="00FC301F"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que les organes stratégiques/cabinets soient soumis au champ d’application de la loi relative à la dénonciation d’une atteinte suspectée à l’intégrité au sein d’une autorité administrative fédérale par un membre de son personnel</w:t>
          </w:r>
          <w:r w:rsidRPr="00EE2C9E">
            <w:rPr>
              <w:rFonts w:cstheme="minorHAnsi"/>
              <w:b/>
              <w:sz w:val="23"/>
              <w:szCs w:val="23"/>
            </w:rPr>
            <w:t xml:space="preserve"> </w:t>
          </w:r>
          <w:r w:rsidRPr="00EE2C9E">
            <w:rPr>
              <w:sz w:val="23"/>
              <w:szCs w:val="23"/>
            </w:rPr>
            <w:t>(paragraphe 128)</w:t>
          </w:r>
          <w:r>
            <w:rPr>
              <w:sz w:val="23"/>
              <w:szCs w:val="23"/>
            </w:rPr>
            <w:t> </w:t>
          </w:r>
          <w:r w:rsidRPr="00EE2C9E">
            <w:rPr>
              <w:b/>
              <w:sz w:val="23"/>
              <w:szCs w:val="23"/>
            </w:rPr>
            <w:t>;</w:t>
          </w:r>
        </w:p>
        <w:p w14:paraId="369FB90E" w14:textId="5AFF120C" w:rsidR="00FC301F" w:rsidRDefault="00FC301F" w:rsidP="00FC301F">
          <w:pPr>
            <w:pStyle w:val="Paragraphedeliste"/>
            <w:rPr>
              <w:b/>
              <w:sz w:val="23"/>
              <w:szCs w:val="23"/>
            </w:rPr>
          </w:pPr>
        </w:p>
        <w:p w14:paraId="5B8873A8" w14:textId="77777777" w:rsidR="00FC301F" w:rsidRPr="00406EBF" w:rsidRDefault="00FC301F" w:rsidP="00FC301F">
          <w:pPr>
            <w:spacing w:line="240" w:lineRule="auto"/>
            <w:ind w:left="426" w:hanging="142"/>
            <w:jc w:val="both"/>
            <w:rPr>
              <w:i/>
              <w:sz w:val="23"/>
              <w:szCs w:val="23"/>
            </w:rPr>
          </w:pPr>
          <w:r w:rsidRPr="00406EBF">
            <w:rPr>
              <w:i/>
              <w:sz w:val="23"/>
              <w:szCs w:val="23"/>
            </w:rPr>
            <w:t>En ce qui concerne les services de répression (police et garde-frontière)</w:t>
          </w:r>
        </w:p>
        <w:p w14:paraId="3EABAFEA" w14:textId="77777777" w:rsidR="00FC301F" w:rsidRPr="00FC301F" w:rsidRDefault="00FC301F" w:rsidP="00FC301F">
          <w:pPr>
            <w:pStyle w:val="Paragraphedeliste"/>
            <w:rPr>
              <w:b/>
              <w:sz w:val="23"/>
              <w:szCs w:val="23"/>
            </w:rPr>
          </w:pPr>
        </w:p>
        <w:p w14:paraId="3FC76856"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que les ressources humaines effectives du Service C</w:t>
          </w:r>
          <w:r>
            <w:rPr>
              <w:rFonts w:cstheme="minorHAnsi"/>
              <w:b/>
              <w:sz w:val="23"/>
              <w:szCs w:val="23"/>
            </w:rPr>
            <w:t xml:space="preserve">ommissariat </w:t>
          </w:r>
          <w:r w:rsidRPr="00406EBF">
            <w:rPr>
              <w:rFonts w:cstheme="minorHAnsi"/>
              <w:b/>
              <w:sz w:val="23"/>
              <w:szCs w:val="23"/>
            </w:rPr>
            <w:t>G</w:t>
          </w:r>
          <w:r>
            <w:rPr>
              <w:rFonts w:cstheme="minorHAnsi"/>
              <w:b/>
              <w:sz w:val="23"/>
              <w:szCs w:val="23"/>
            </w:rPr>
            <w:t>énéral</w:t>
          </w:r>
          <w:r w:rsidRPr="00406EBF">
            <w:rPr>
              <w:rFonts w:cstheme="minorHAnsi"/>
              <w:b/>
              <w:sz w:val="23"/>
              <w:szCs w:val="23"/>
            </w:rPr>
            <w:t>/intégrité soient renforcées</w:t>
          </w:r>
          <w:r w:rsidRPr="00EE2C9E">
            <w:rPr>
              <w:sz w:val="23"/>
              <w:szCs w:val="23"/>
            </w:rPr>
            <w:t xml:space="preserve"> (paragraphe 153)</w:t>
          </w:r>
          <w:r>
            <w:rPr>
              <w:sz w:val="23"/>
              <w:szCs w:val="23"/>
            </w:rPr>
            <w:t xml:space="preserve"> </w:t>
          </w:r>
          <w:r w:rsidRPr="00EE2C9E">
            <w:rPr>
              <w:b/>
              <w:sz w:val="23"/>
              <w:szCs w:val="23"/>
            </w:rPr>
            <w:t>;</w:t>
          </w:r>
        </w:p>
        <w:p w14:paraId="5FFA8921" w14:textId="77777777" w:rsidR="00FC301F" w:rsidRPr="00EE2C9E" w:rsidRDefault="00FC301F" w:rsidP="00FC301F">
          <w:pPr>
            <w:pStyle w:val="Paragraphedeliste"/>
            <w:ind w:left="1080"/>
            <w:jc w:val="both"/>
            <w:rPr>
              <w:b/>
              <w:sz w:val="23"/>
              <w:szCs w:val="23"/>
            </w:rPr>
          </w:pPr>
        </w:p>
        <w:p w14:paraId="296B9852"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b/>
              <w:sz w:val="23"/>
              <w:szCs w:val="23"/>
            </w:rPr>
            <w:t>que le code de déontologie soit actualisé et que des dispositions soient prises pour qu’une mise à jour régulière puisse avoir lieu à l’avenir</w:t>
          </w:r>
          <w:r w:rsidRPr="00EE2C9E">
            <w:rPr>
              <w:b/>
              <w:sz w:val="23"/>
              <w:szCs w:val="23"/>
            </w:rPr>
            <w:t xml:space="preserve"> </w:t>
          </w:r>
          <w:r w:rsidRPr="00EE2C9E">
            <w:rPr>
              <w:sz w:val="23"/>
              <w:szCs w:val="23"/>
            </w:rPr>
            <w:t>(paragraphe 167)</w:t>
          </w:r>
          <w:r>
            <w:rPr>
              <w:sz w:val="23"/>
              <w:szCs w:val="23"/>
            </w:rPr>
            <w:t xml:space="preserve"> </w:t>
          </w:r>
          <w:r w:rsidRPr="00EE2C9E">
            <w:rPr>
              <w:b/>
              <w:sz w:val="23"/>
              <w:szCs w:val="23"/>
            </w:rPr>
            <w:t>;</w:t>
          </w:r>
        </w:p>
        <w:p w14:paraId="1FBF59C2" w14:textId="77777777" w:rsidR="00FC301F" w:rsidRPr="00EE2C9E" w:rsidRDefault="00FC301F" w:rsidP="00FC301F">
          <w:pPr>
            <w:pStyle w:val="Paragraphedeliste"/>
            <w:jc w:val="both"/>
            <w:rPr>
              <w:b/>
              <w:sz w:val="23"/>
              <w:szCs w:val="23"/>
            </w:rPr>
          </w:pPr>
        </w:p>
        <w:p w14:paraId="0AE32466"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 xml:space="preserve">de </w:t>
          </w:r>
          <w:r>
            <w:rPr>
              <w:rFonts w:cstheme="minorHAnsi"/>
              <w:b/>
              <w:sz w:val="23"/>
              <w:szCs w:val="23"/>
            </w:rPr>
            <w:t xml:space="preserve">mener une étude sur les moyens de renforcer la stabilité du cadre dirigeant de la police fédérale en vue de </w:t>
          </w:r>
          <w:r w:rsidRPr="00406EBF">
            <w:rPr>
              <w:rFonts w:cstheme="minorHAnsi"/>
              <w:b/>
              <w:sz w:val="23"/>
              <w:szCs w:val="23"/>
            </w:rPr>
            <w:t xml:space="preserve">prendre des mesures </w:t>
          </w:r>
          <w:r>
            <w:rPr>
              <w:rFonts w:cstheme="minorHAnsi"/>
              <w:b/>
              <w:sz w:val="23"/>
              <w:szCs w:val="23"/>
            </w:rPr>
            <w:t>à cette fin</w:t>
          </w:r>
          <w:r w:rsidRPr="00EE2C9E">
            <w:rPr>
              <w:b/>
              <w:sz w:val="23"/>
              <w:szCs w:val="23"/>
            </w:rPr>
            <w:t xml:space="preserve"> </w:t>
          </w:r>
          <w:r w:rsidRPr="00EE2C9E">
            <w:rPr>
              <w:sz w:val="23"/>
              <w:szCs w:val="23"/>
            </w:rPr>
            <w:t>(paragraphe 177)</w:t>
          </w:r>
          <w:r>
            <w:rPr>
              <w:sz w:val="23"/>
              <w:szCs w:val="23"/>
            </w:rPr>
            <w:t xml:space="preserve"> </w:t>
          </w:r>
          <w:r w:rsidRPr="00EE2C9E">
            <w:rPr>
              <w:b/>
              <w:sz w:val="23"/>
              <w:szCs w:val="23"/>
            </w:rPr>
            <w:t>;</w:t>
          </w:r>
        </w:p>
        <w:p w14:paraId="46F80404" w14:textId="77777777" w:rsidR="00FC301F" w:rsidRPr="00EE2C9E" w:rsidRDefault="00FC301F" w:rsidP="00FC301F">
          <w:pPr>
            <w:pStyle w:val="Paragraphedeliste"/>
            <w:jc w:val="both"/>
            <w:rPr>
              <w:b/>
              <w:sz w:val="23"/>
              <w:szCs w:val="23"/>
            </w:rPr>
          </w:pPr>
        </w:p>
        <w:p w14:paraId="33BEF8AD"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lang w:val="fr-BE"/>
            </w:rPr>
            <w:t xml:space="preserve">qu’un contrôle d’intégrité des candidats soit mis en place dans le cadre de la mobilité et de la promotion – y compris vers des fonctions à mandat – </w:t>
          </w:r>
          <w:r>
            <w:rPr>
              <w:rFonts w:cstheme="minorHAnsi"/>
              <w:b/>
              <w:sz w:val="23"/>
              <w:szCs w:val="23"/>
              <w:lang w:val="fr-BE"/>
            </w:rPr>
            <w:t>ainsi qu’</w:t>
          </w:r>
          <w:r w:rsidRPr="00406EBF">
            <w:rPr>
              <w:rFonts w:cstheme="minorHAnsi"/>
              <w:b/>
              <w:sz w:val="23"/>
              <w:szCs w:val="23"/>
              <w:lang w:val="fr-BE"/>
            </w:rPr>
            <w:t>à intervalles réguliers au cours de la carrière</w:t>
          </w:r>
          <w:r w:rsidRPr="00EE2C9E">
            <w:rPr>
              <w:rFonts w:cstheme="minorHAnsi"/>
              <w:b/>
              <w:sz w:val="23"/>
              <w:szCs w:val="23"/>
            </w:rPr>
            <w:t xml:space="preserve"> </w:t>
          </w:r>
          <w:r w:rsidRPr="00EE2C9E">
            <w:rPr>
              <w:sz w:val="23"/>
              <w:szCs w:val="23"/>
            </w:rPr>
            <w:t>(paragraphe 182)</w:t>
          </w:r>
          <w:r>
            <w:rPr>
              <w:sz w:val="23"/>
              <w:szCs w:val="23"/>
            </w:rPr>
            <w:t xml:space="preserve"> </w:t>
          </w:r>
          <w:r w:rsidRPr="00EE2C9E">
            <w:rPr>
              <w:b/>
              <w:sz w:val="23"/>
              <w:szCs w:val="23"/>
            </w:rPr>
            <w:t>;</w:t>
          </w:r>
        </w:p>
        <w:p w14:paraId="4056DBEA" w14:textId="77777777" w:rsidR="00FC301F" w:rsidRPr="00EE2C9E" w:rsidRDefault="00FC301F" w:rsidP="00FC301F">
          <w:pPr>
            <w:pStyle w:val="Paragraphedeliste"/>
            <w:jc w:val="both"/>
            <w:rPr>
              <w:b/>
              <w:sz w:val="23"/>
              <w:szCs w:val="23"/>
            </w:rPr>
          </w:pPr>
        </w:p>
        <w:p w14:paraId="5F3F7C65" w14:textId="77777777" w:rsidR="00FC301F" w:rsidRPr="00EE2C9E"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que des critères objectifs et transparents encadrent strictement les possibilités d’activités accessoires et qu’un régime de contrôle effectif soit assuré</w:t>
          </w:r>
          <w:r w:rsidRPr="00EE2C9E">
            <w:rPr>
              <w:rFonts w:cstheme="minorHAnsi"/>
              <w:b/>
              <w:sz w:val="23"/>
              <w:szCs w:val="23"/>
            </w:rPr>
            <w:t xml:space="preserve"> </w:t>
          </w:r>
          <w:r w:rsidRPr="00EE2C9E">
            <w:rPr>
              <w:sz w:val="23"/>
              <w:szCs w:val="23"/>
            </w:rPr>
            <w:t>(paragraphe 204)</w:t>
          </w:r>
          <w:r>
            <w:rPr>
              <w:sz w:val="23"/>
              <w:szCs w:val="23"/>
            </w:rPr>
            <w:t xml:space="preserve"> </w:t>
          </w:r>
          <w:r w:rsidRPr="00EE2C9E">
            <w:rPr>
              <w:b/>
              <w:sz w:val="23"/>
              <w:szCs w:val="23"/>
            </w:rPr>
            <w:t>;</w:t>
          </w:r>
        </w:p>
        <w:p w14:paraId="2194071C" w14:textId="77777777" w:rsidR="00FC301F" w:rsidRPr="00EE2C9E" w:rsidRDefault="00FC301F" w:rsidP="00FC301F">
          <w:pPr>
            <w:pStyle w:val="Paragraphedeliste"/>
            <w:jc w:val="both"/>
            <w:rPr>
              <w:b/>
              <w:sz w:val="23"/>
              <w:szCs w:val="23"/>
            </w:rPr>
          </w:pPr>
        </w:p>
        <w:p w14:paraId="46E17D89" w14:textId="77777777" w:rsidR="00FC301F" w:rsidRPr="00A146C4" w:rsidRDefault="00FC301F" w:rsidP="00FC301F">
          <w:pPr>
            <w:pStyle w:val="Paragraphedeliste"/>
            <w:numPr>
              <w:ilvl w:val="0"/>
              <w:numId w:val="49"/>
            </w:numPr>
            <w:spacing w:after="160" w:line="259" w:lineRule="auto"/>
            <w:jc w:val="both"/>
            <w:rPr>
              <w:b/>
              <w:sz w:val="23"/>
              <w:szCs w:val="23"/>
            </w:rPr>
          </w:pPr>
          <w:r>
            <w:rPr>
              <w:rFonts w:cstheme="minorHAnsi"/>
              <w:b/>
              <w:sz w:val="23"/>
              <w:szCs w:val="23"/>
            </w:rPr>
            <w:lastRenderedPageBreak/>
            <w:t>d’envisager d’introduire une obligation de déclaration des avoirs/intérêts vis-à-vis des postes de direction et/ou de certains postes à risques au sein de la police, en vue de l’introduction de telles règles</w:t>
          </w:r>
          <w:r w:rsidRPr="00A146C4">
            <w:rPr>
              <w:rFonts w:cstheme="minorHAnsi"/>
              <w:b/>
              <w:sz w:val="23"/>
              <w:szCs w:val="23"/>
            </w:rPr>
            <w:t xml:space="preserve"> </w:t>
          </w:r>
          <w:r w:rsidRPr="00A146C4">
            <w:rPr>
              <w:sz w:val="23"/>
              <w:szCs w:val="23"/>
            </w:rPr>
            <w:t>(paragraphe 214)</w:t>
          </w:r>
          <w:r>
            <w:rPr>
              <w:sz w:val="23"/>
              <w:szCs w:val="23"/>
            </w:rPr>
            <w:t xml:space="preserve"> </w:t>
          </w:r>
          <w:r w:rsidRPr="00A146C4">
            <w:rPr>
              <w:b/>
              <w:sz w:val="23"/>
              <w:szCs w:val="23"/>
            </w:rPr>
            <w:t>;</w:t>
          </w:r>
        </w:p>
        <w:p w14:paraId="5399CBBB" w14:textId="77777777" w:rsidR="00FC301F" w:rsidRPr="00A146C4" w:rsidRDefault="00FC301F" w:rsidP="00FC301F">
          <w:pPr>
            <w:pStyle w:val="Paragraphedeliste"/>
            <w:jc w:val="both"/>
            <w:rPr>
              <w:b/>
              <w:sz w:val="23"/>
              <w:szCs w:val="23"/>
            </w:rPr>
          </w:pPr>
        </w:p>
        <w:p w14:paraId="4E29B267" w14:textId="77777777" w:rsidR="00FC301F" w:rsidRPr="00A146C4"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 xml:space="preserve">d’assurer que le contrôle interne soit en mesure de jouer </w:t>
          </w:r>
          <w:r>
            <w:rPr>
              <w:rFonts w:cstheme="minorHAnsi"/>
              <w:b/>
              <w:sz w:val="23"/>
              <w:szCs w:val="23"/>
            </w:rPr>
            <w:t xml:space="preserve">pleinement son </w:t>
          </w:r>
          <w:r w:rsidRPr="00406EBF">
            <w:rPr>
              <w:rFonts w:cstheme="minorHAnsi"/>
              <w:b/>
              <w:sz w:val="23"/>
              <w:szCs w:val="23"/>
            </w:rPr>
            <w:t>rôle</w:t>
          </w:r>
          <w:r>
            <w:rPr>
              <w:rFonts w:cstheme="minorHAnsi"/>
              <w:b/>
              <w:sz w:val="23"/>
              <w:szCs w:val="23"/>
            </w:rPr>
            <w:t>, notamment de manière</w:t>
          </w:r>
          <w:r w:rsidRPr="00406EBF">
            <w:rPr>
              <w:rFonts w:cstheme="minorHAnsi"/>
              <w:b/>
              <w:sz w:val="23"/>
              <w:szCs w:val="23"/>
            </w:rPr>
            <w:t xml:space="preserve"> proacti</w:t>
          </w:r>
          <w:r>
            <w:rPr>
              <w:rFonts w:cstheme="minorHAnsi"/>
              <w:b/>
              <w:sz w:val="23"/>
              <w:szCs w:val="23"/>
            </w:rPr>
            <w:t>ve,</w:t>
          </w:r>
          <w:r w:rsidRPr="00406EBF">
            <w:rPr>
              <w:rFonts w:cstheme="minorHAnsi"/>
              <w:b/>
              <w:sz w:val="23"/>
              <w:szCs w:val="23"/>
            </w:rPr>
            <w:t xml:space="preserve"> et de donner un aperçu général pertinent de l’évolution statistique en matière disciplinaire au sein de la police fédérale</w:t>
          </w:r>
          <w:r w:rsidRPr="00A146C4">
            <w:rPr>
              <w:rFonts w:cstheme="minorHAnsi"/>
              <w:b/>
              <w:sz w:val="23"/>
              <w:szCs w:val="23"/>
            </w:rPr>
            <w:t xml:space="preserve"> </w:t>
          </w:r>
          <w:r w:rsidRPr="00A146C4">
            <w:rPr>
              <w:sz w:val="23"/>
              <w:szCs w:val="23"/>
            </w:rPr>
            <w:t>(paragraphe 215)</w:t>
          </w:r>
          <w:r>
            <w:rPr>
              <w:sz w:val="23"/>
              <w:szCs w:val="23"/>
            </w:rPr>
            <w:t xml:space="preserve"> </w:t>
          </w:r>
          <w:r w:rsidRPr="00A146C4">
            <w:rPr>
              <w:b/>
              <w:sz w:val="23"/>
              <w:szCs w:val="23"/>
            </w:rPr>
            <w:t>;</w:t>
          </w:r>
        </w:p>
        <w:p w14:paraId="30AE01B8" w14:textId="77777777" w:rsidR="00FC301F" w:rsidRPr="00A146C4" w:rsidRDefault="00FC301F" w:rsidP="00FC301F">
          <w:pPr>
            <w:pStyle w:val="Paragraphedeliste"/>
            <w:jc w:val="both"/>
            <w:rPr>
              <w:b/>
              <w:sz w:val="23"/>
              <w:szCs w:val="23"/>
            </w:rPr>
          </w:pPr>
        </w:p>
        <w:p w14:paraId="1E84C3B1" w14:textId="023AD928" w:rsidR="00FC301F" w:rsidRPr="00A146C4" w:rsidRDefault="00FC301F" w:rsidP="00FC301F">
          <w:pPr>
            <w:pStyle w:val="Paragraphedeliste"/>
            <w:numPr>
              <w:ilvl w:val="0"/>
              <w:numId w:val="49"/>
            </w:numPr>
            <w:spacing w:after="160" w:line="259" w:lineRule="auto"/>
            <w:jc w:val="both"/>
            <w:rPr>
              <w:b/>
              <w:sz w:val="23"/>
              <w:szCs w:val="23"/>
            </w:rPr>
          </w:pPr>
          <w:r w:rsidRPr="00406EBF">
            <w:rPr>
              <w:rFonts w:cstheme="minorHAnsi"/>
              <w:b/>
              <w:sz w:val="23"/>
              <w:szCs w:val="23"/>
            </w:rPr>
            <w:t xml:space="preserve">que </w:t>
          </w:r>
          <w:r>
            <w:rPr>
              <w:rFonts w:cstheme="minorHAnsi"/>
              <w:b/>
              <w:sz w:val="23"/>
              <w:szCs w:val="23"/>
            </w:rPr>
            <w:t>les membres de la police soient tenus de communiquer leur qualité de policier lorsqu’ils sont visés par une enquête ou une condamnation pénale et/ou d’informer le service interne compétent de la police intégrée d’une telle enquête ou condamnation</w:t>
          </w:r>
          <w:r w:rsidRPr="00A146C4">
            <w:rPr>
              <w:rFonts w:cstheme="minorHAnsi"/>
              <w:b/>
              <w:sz w:val="23"/>
              <w:szCs w:val="23"/>
            </w:rPr>
            <w:t xml:space="preserve"> </w:t>
          </w:r>
          <w:r w:rsidRPr="00A146C4">
            <w:rPr>
              <w:sz w:val="23"/>
              <w:szCs w:val="23"/>
            </w:rPr>
            <w:t>(paragraphe 216)</w:t>
          </w:r>
          <w:r w:rsidR="007379CE">
            <w:rPr>
              <w:sz w:val="23"/>
              <w:szCs w:val="23"/>
            </w:rPr>
            <w:t>.</w:t>
          </w:r>
        </w:p>
        <w:p w14:paraId="2608B1F5" w14:textId="77777777" w:rsidR="00FC301F" w:rsidRPr="00EE2C9E" w:rsidRDefault="00FC301F" w:rsidP="00FC301F">
          <w:pPr>
            <w:pStyle w:val="Paragraphedeliste"/>
            <w:spacing w:after="160" w:line="259" w:lineRule="auto"/>
            <w:ind w:left="1080"/>
            <w:jc w:val="both"/>
            <w:rPr>
              <w:b/>
              <w:sz w:val="23"/>
              <w:szCs w:val="23"/>
            </w:rPr>
          </w:pPr>
        </w:p>
        <w:p w14:paraId="7FC8F88C" w14:textId="77777777" w:rsidR="00A910A1" w:rsidRPr="00406EBF" w:rsidRDefault="00746CD4" w:rsidP="001878CC">
          <w:pPr>
            <w:numPr>
              <w:ilvl w:val="0"/>
              <w:numId w:val="1"/>
            </w:numPr>
            <w:tabs>
              <w:tab w:val="left" w:pos="709"/>
            </w:tabs>
            <w:spacing w:line="240" w:lineRule="auto"/>
            <w:ind w:left="0" w:firstLine="0"/>
            <w:jc w:val="both"/>
            <w:rPr>
              <w:sz w:val="23"/>
              <w:szCs w:val="23"/>
            </w:rPr>
          </w:pPr>
          <w:r w:rsidRPr="00406EBF">
            <w:rPr>
              <w:sz w:val="23"/>
              <w:szCs w:val="23"/>
            </w:rPr>
            <w:t xml:space="preserve">Conformément à l’article 30.2 du Règlement Intérieur, le GRECO invite les autorités de </w:t>
          </w:r>
          <w:r w:rsidR="00C12B2F" w:rsidRPr="00406EBF">
            <w:rPr>
              <w:sz w:val="23"/>
              <w:szCs w:val="23"/>
            </w:rPr>
            <w:t>la Belgique</w:t>
          </w:r>
          <w:r w:rsidRPr="00406EBF">
            <w:rPr>
              <w:sz w:val="23"/>
              <w:szCs w:val="23"/>
            </w:rPr>
            <w:t xml:space="preserve"> à soumettre un rapport sur les mesures adoptées pour mettre en œuvre les recommandations susmentionnées avant le </w:t>
          </w:r>
          <w:r w:rsidR="00A02AAF" w:rsidRPr="00406EBF">
            <w:rPr>
              <w:sz w:val="23"/>
              <w:szCs w:val="23"/>
              <w:u w:val="single"/>
            </w:rPr>
            <w:t>30 juin 2021</w:t>
          </w:r>
          <w:r w:rsidRPr="00406EBF">
            <w:rPr>
              <w:sz w:val="23"/>
              <w:szCs w:val="23"/>
            </w:rPr>
            <w:t>. Ces mesures seront évaluées par le GRECO dans le cadre de la procédure de conformité spécifique</w:t>
          </w:r>
          <w:r w:rsidR="00A910A1" w:rsidRPr="00406EBF">
            <w:rPr>
              <w:sz w:val="23"/>
              <w:szCs w:val="23"/>
            </w:rPr>
            <w:t xml:space="preserve">. </w:t>
          </w:r>
        </w:p>
        <w:p w14:paraId="5BF40F64" w14:textId="77777777" w:rsidR="001533B7" w:rsidRPr="00406EBF" w:rsidRDefault="001533B7" w:rsidP="001878CC">
          <w:pPr>
            <w:spacing w:line="240" w:lineRule="auto"/>
            <w:jc w:val="both"/>
            <w:rPr>
              <w:sz w:val="23"/>
              <w:szCs w:val="23"/>
            </w:rPr>
          </w:pPr>
        </w:p>
        <w:p w14:paraId="3CFF44F9" w14:textId="77777777" w:rsidR="00EC78F1" w:rsidRPr="00406EBF" w:rsidRDefault="00746CD4" w:rsidP="001878CC">
          <w:pPr>
            <w:numPr>
              <w:ilvl w:val="0"/>
              <w:numId w:val="1"/>
            </w:numPr>
            <w:tabs>
              <w:tab w:val="left" w:pos="709"/>
            </w:tabs>
            <w:spacing w:line="240" w:lineRule="auto"/>
            <w:ind w:left="0" w:firstLine="0"/>
            <w:jc w:val="both"/>
            <w:rPr>
              <w:sz w:val="23"/>
              <w:szCs w:val="23"/>
            </w:rPr>
          </w:pPr>
          <w:r w:rsidRPr="00406EBF">
            <w:rPr>
              <w:sz w:val="23"/>
              <w:szCs w:val="23"/>
            </w:rPr>
            <w:t xml:space="preserve">Le </w:t>
          </w:r>
          <w:r w:rsidR="00A910A1" w:rsidRPr="00406EBF">
            <w:rPr>
              <w:sz w:val="23"/>
              <w:szCs w:val="23"/>
            </w:rPr>
            <w:t>GRECO invite</w:t>
          </w:r>
          <w:r w:rsidRPr="00406EBF">
            <w:rPr>
              <w:sz w:val="23"/>
              <w:szCs w:val="23"/>
            </w:rPr>
            <w:t xml:space="preserve"> les autorités de </w:t>
          </w:r>
          <w:r w:rsidR="00A02AAF" w:rsidRPr="00406EBF">
            <w:rPr>
              <w:sz w:val="23"/>
              <w:szCs w:val="23"/>
            </w:rPr>
            <w:t>l</w:t>
          </w:r>
          <w:r w:rsidR="00DD5909" w:rsidRPr="00406EBF">
            <w:rPr>
              <w:sz w:val="23"/>
              <w:szCs w:val="23"/>
            </w:rPr>
            <w:t>a</w:t>
          </w:r>
          <w:r w:rsidR="00A02AAF" w:rsidRPr="00406EBF">
            <w:rPr>
              <w:sz w:val="23"/>
              <w:szCs w:val="23"/>
            </w:rPr>
            <w:t xml:space="preserve"> Belgique</w:t>
          </w:r>
          <w:r w:rsidRPr="00406EBF">
            <w:rPr>
              <w:sz w:val="23"/>
              <w:szCs w:val="23"/>
            </w:rPr>
            <w:t xml:space="preserve"> à autoriser, dès que possible, la publication de ce rapport, à le faire traduire dans l</w:t>
          </w:r>
          <w:r w:rsidR="00A02AAF" w:rsidRPr="00406EBF">
            <w:rPr>
              <w:sz w:val="23"/>
              <w:szCs w:val="23"/>
            </w:rPr>
            <w:t>es autres</w:t>
          </w:r>
          <w:r w:rsidRPr="00406EBF">
            <w:rPr>
              <w:sz w:val="23"/>
              <w:szCs w:val="23"/>
            </w:rPr>
            <w:t xml:space="preserve"> langue</w:t>
          </w:r>
          <w:r w:rsidR="00A02AAF" w:rsidRPr="00406EBF">
            <w:rPr>
              <w:sz w:val="23"/>
              <w:szCs w:val="23"/>
            </w:rPr>
            <w:t>s</w:t>
          </w:r>
          <w:r w:rsidRPr="00406EBF">
            <w:rPr>
              <w:sz w:val="23"/>
              <w:szCs w:val="23"/>
            </w:rPr>
            <w:t xml:space="preserve"> nationale</w:t>
          </w:r>
          <w:r w:rsidR="00A02AAF" w:rsidRPr="00406EBF">
            <w:rPr>
              <w:sz w:val="23"/>
              <w:szCs w:val="23"/>
            </w:rPr>
            <w:t>s</w:t>
          </w:r>
          <w:r w:rsidRPr="00406EBF">
            <w:rPr>
              <w:sz w:val="23"/>
              <w:szCs w:val="23"/>
            </w:rPr>
            <w:t xml:space="preserve"> et à </w:t>
          </w:r>
          <w:r w:rsidR="00A02AAF" w:rsidRPr="00406EBF">
            <w:rPr>
              <w:sz w:val="23"/>
              <w:szCs w:val="23"/>
            </w:rPr>
            <w:t xml:space="preserve">rendre ces </w:t>
          </w:r>
          <w:r w:rsidRPr="00406EBF">
            <w:rPr>
              <w:sz w:val="23"/>
              <w:szCs w:val="23"/>
            </w:rPr>
            <w:t>traduction</w:t>
          </w:r>
          <w:r w:rsidR="00A02AAF" w:rsidRPr="00406EBF">
            <w:rPr>
              <w:sz w:val="23"/>
              <w:szCs w:val="23"/>
            </w:rPr>
            <w:t>s</w:t>
          </w:r>
          <w:r w:rsidRPr="00406EBF">
            <w:rPr>
              <w:sz w:val="23"/>
              <w:szCs w:val="23"/>
            </w:rPr>
            <w:t xml:space="preserve"> publi</w:t>
          </w:r>
          <w:r w:rsidR="00A02AAF" w:rsidRPr="00406EBF">
            <w:rPr>
              <w:sz w:val="23"/>
              <w:szCs w:val="23"/>
            </w:rPr>
            <w:t>ques</w:t>
          </w:r>
          <w:r w:rsidR="00A910A1" w:rsidRPr="00406EBF">
            <w:rPr>
              <w:sz w:val="23"/>
              <w:szCs w:val="23"/>
            </w:rPr>
            <w:t xml:space="preserve">. </w:t>
          </w:r>
        </w:p>
        <w:p w14:paraId="2805CF89" w14:textId="77777777" w:rsidR="00EC78F1" w:rsidRPr="00406EBF" w:rsidRDefault="00EC78F1" w:rsidP="001878CC">
          <w:pPr>
            <w:tabs>
              <w:tab w:val="left" w:pos="709"/>
            </w:tabs>
            <w:spacing w:line="240" w:lineRule="auto"/>
            <w:jc w:val="both"/>
            <w:rPr>
              <w:sz w:val="23"/>
              <w:szCs w:val="23"/>
            </w:rPr>
          </w:pPr>
        </w:p>
        <w:p w14:paraId="01F794C3" w14:textId="77777777" w:rsidR="00EC78F1" w:rsidRPr="00406EBF" w:rsidRDefault="00EC78F1" w:rsidP="001878CC">
          <w:pPr>
            <w:spacing w:line="240" w:lineRule="auto"/>
            <w:jc w:val="both"/>
            <w:rPr>
              <w:sz w:val="23"/>
              <w:szCs w:val="23"/>
            </w:rPr>
          </w:pPr>
        </w:p>
        <w:p w14:paraId="1212B617" w14:textId="77777777" w:rsidR="00EC78F1" w:rsidRPr="00406EBF" w:rsidRDefault="00EC78F1" w:rsidP="001878CC">
          <w:pPr>
            <w:spacing w:line="240" w:lineRule="auto"/>
            <w:jc w:val="both"/>
            <w:rPr>
              <w:sz w:val="23"/>
              <w:szCs w:val="23"/>
            </w:rPr>
          </w:pPr>
        </w:p>
        <w:p w14:paraId="72E03B24" w14:textId="77777777" w:rsidR="00EC78F1" w:rsidRPr="00406EBF" w:rsidRDefault="00EC78F1" w:rsidP="001878CC">
          <w:pPr>
            <w:rPr>
              <w:rFonts w:eastAsiaTheme="majorEastAsia" w:cstheme="majorBidi"/>
              <w:b/>
              <w:bCs/>
              <w:sz w:val="21"/>
              <w:szCs w:val="21"/>
            </w:rPr>
          </w:pPr>
          <w:bookmarkStart w:id="188" w:name="_Toc508542740"/>
          <w:bookmarkStart w:id="189" w:name="_Toc507426305"/>
          <w:bookmarkStart w:id="190" w:name="_Toc506909418"/>
          <w:bookmarkStart w:id="191" w:name="_Toc504653888"/>
          <w:bookmarkStart w:id="192" w:name="_Toc503526180"/>
          <w:bookmarkStart w:id="193" w:name="_Toc492886150"/>
          <w:bookmarkStart w:id="194" w:name="_Toc492886045"/>
          <w:bookmarkStart w:id="195" w:name="_Toc489353280"/>
          <w:bookmarkStart w:id="196" w:name="_Toc484528847"/>
          <w:bookmarkStart w:id="197" w:name="_Toc484527893"/>
          <w:bookmarkStart w:id="198" w:name="_Toc484161417"/>
          <w:bookmarkEnd w:id="17"/>
          <w:bookmarkEnd w:id="18"/>
          <w:r w:rsidRPr="00406EBF">
            <w:rPr>
              <w:rFonts w:eastAsiaTheme="majorEastAsia" w:cstheme="majorBidi"/>
              <w:b/>
              <w:bCs/>
              <w:sz w:val="21"/>
              <w:szCs w:val="21"/>
            </w:rPr>
            <w:br w:type="page"/>
          </w:r>
        </w:p>
        <w:p w14:paraId="1F49BA0F" w14:textId="77777777" w:rsidR="00EC78F1" w:rsidRPr="00406EBF" w:rsidRDefault="00EC78F1" w:rsidP="001878CC">
          <w:pPr>
            <w:tabs>
              <w:tab w:val="left" w:pos="709"/>
            </w:tabs>
            <w:spacing w:line="240" w:lineRule="auto"/>
            <w:jc w:val="both"/>
            <w:rPr>
              <w:rFonts w:cstheme="minorHAnsi"/>
              <w:sz w:val="21"/>
              <w:szCs w:val="21"/>
            </w:rPr>
            <w:sectPr w:rsidR="00EC78F1" w:rsidRPr="00406EBF" w:rsidSect="00451D78">
              <w:pgSz w:w="11906" w:h="16838" w:code="9"/>
              <w:pgMar w:top="1134" w:right="1418" w:bottom="1134" w:left="1418" w:header="567" w:footer="395" w:gutter="0"/>
              <w:cols w:space="708"/>
              <w:docGrid w:linePitch="360"/>
            </w:sectPr>
          </w:pPr>
        </w:p>
        <w:bookmarkStart w:id="199" w:name="_Toc4167575"/>
        <w:bookmarkStart w:id="200" w:name="_Toc4167640"/>
        <w:bookmarkStart w:id="201" w:name="_Toc4167938"/>
        <w:bookmarkStart w:id="202" w:name="_Toc20828227"/>
        <w:bookmarkStart w:id="203" w:name="_Toc20986749"/>
        <w:bookmarkStart w:id="204" w:name="_Toc21339483"/>
        <w:bookmarkStart w:id="205" w:name="_Toc21339548"/>
        <w:bookmarkStart w:id="206" w:name="_Toc21339614"/>
        <w:p w14:paraId="6A738D2A" w14:textId="73802C2F" w:rsidR="005F619A" w:rsidRPr="00406EBF" w:rsidRDefault="005B1F38" w:rsidP="001878CC">
          <w:pPr>
            <w:pStyle w:val="Titre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auto"/>
              <w:sz w:val="21"/>
              <w:szCs w:val="21"/>
            </w:rPr>
          </w:pPr>
          <w:r>
            <w:rPr>
              <w:rFonts w:asciiTheme="minorHAnsi" w:hAnsiTheme="minorHAnsi"/>
              <w:noProof/>
              <w:color w:val="auto"/>
              <w:sz w:val="21"/>
              <w:szCs w:val="21"/>
              <w:lang w:val="en-GB" w:eastAsia="en-GB"/>
            </w:rPr>
            <w:lastRenderedPageBreak/>
            <mc:AlternateContent>
              <mc:Choice Requires="wps">
                <w:drawing>
                  <wp:anchor distT="0" distB="0" distL="91440" distR="91440" simplePos="0" relativeHeight="251658752" behindDoc="1" locked="0" layoutInCell="1" allowOverlap="1" wp14:anchorId="6E4C5CC1" wp14:editId="6305E071">
                    <wp:simplePos x="0" y="0"/>
                    <wp:positionH relativeFrom="margin">
                      <wp:posOffset>-52705</wp:posOffset>
                    </wp:positionH>
                    <wp:positionV relativeFrom="margin">
                      <wp:posOffset>2937510</wp:posOffset>
                    </wp:positionV>
                    <wp:extent cx="5857875" cy="515048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5150485"/>
                            </a:xfrm>
                            <a:prstGeom prst="rect">
                              <a:avLst/>
                            </a:prstGeom>
                            <a:noFill/>
                            <a:ln w="6350">
                              <a:noFill/>
                            </a:ln>
                            <a:effectLst/>
                          </wps:spPr>
                          <wps:txbx>
                            <w:txbxContent>
                              <w:p w14:paraId="2B4C16DF" w14:textId="77777777" w:rsidR="00CA03E6" w:rsidRPr="00406EBF" w:rsidRDefault="00CA03E6" w:rsidP="00110734">
                                <w:pPr>
                                  <w:pStyle w:val="Citation"/>
                                  <w:pBdr>
                                    <w:top w:val="single" w:sz="48" w:space="8" w:color="4F81BD"/>
                                    <w:bottom w:val="single" w:sz="48" w:space="8" w:color="4F81BD"/>
                                  </w:pBdr>
                                  <w:spacing w:line="300" w:lineRule="auto"/>
                                  <w:jc w:val="center"/>
                                  <w:rPr>
                                    <w:rFonts w:asciiTheme="minorHAnsi" w:hAnsiTheme="minorHAnsi" w:cstheme="minorHAnsi"/>
                                    <w:b/>
                                    <w:i w:val="0"/>
                                    <w:color w:val="4F81BD"/>
                                    <w:sz w:val="21"/>
                                    <w:szCs w:val="21"/>
                                    <w:lang w:val="fr-FR"/>
                                  </w:rPr>
                                </w:pPr>
                                <w:r w:rsidRPr="00406EBF">
                                  <w:rPr>
                                    <w:rFonts w:asciiTheme="minorHAnsi" w:hAnsiTheme="minorHAnsi" w:cstheme="minorHAnsi"/>
                                    <w:b/>
                                    <w:i w:val="0"/>
                                    <w:color w:val="4F81BD"/>
                                    <w:sz w:val="21"/>
                                    <w:szCs w:val="21"/>
                                    <w:lang w:val="fr-FR"/>
                                  </w:rPr>
                                  <w:br/>
                                  <w:t>Le GRECO</w:t>
                                </w:r>
                              </w:p>
                              <w:p w14:paraId="2116257B" w14:textId="77777777" w:rsidR="00CA03E6" w:rsidRPr="00406EBF" w:rsidRDefault="00CA03E6"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3"/>
                                    <w:szCs w:val="23"/>
                                    <w:lang w:val="fr-FR"/>
                                  </w:rPr>
                                </w:pPr>
                                <w:r w:rsidRPr="00406EBF">
                                  <w:rPr>
                                    <w:rFonts w:asciiTheme="minorHAnsi" w:hAnsiTheme="minorHAnsi" w:cstheme="minorHAnsi"/>
                                    <w:i w:val="0"/>
                                    <w:color w:val="4F81BD"/>
                                    <w:sz w:val="23"/>
                                    <w:szCs w:val="23"/>
                                    <w:lang w:val="fr-FR"/>
                                  </w:rPr>
                                  <w:t>Le Groupe d'États contre la corruption (GRECO) assure le suivi de la conformité de ses 49 États membres avec les instruments de lutte contre la corruption élaborés par le Conseil de l'Europe. L'activité de suivi du GRECO comporte une « procédure d'évaluation », qui repose sur les réponses données par un pays à un questionnaire et sur des visites effectuées sur place, puis une étude d’impact (« procédure de conformité »), qui donne lieu à l'examen des mesures prises par le pays concerné pour mettre en œuvre les recommandations formulées lors de son évaluation. Un processus dynamique d'évaluation mutuelle et de pressions réciproques est appliqué, qui associe l'expertise de professionnels chargés de l'évaluation et la présence de représentants des États qui siègent en plénière.</w:t>
                                </w:r>
                              </w:p>
                              <w:p w14:paraId="69A8A990" w14:textId="77777777" w:rsidR="00CA03E6" w:rsidRPr="00406EBF" w:rsidRDefault="00CA03E6"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3"/>
                                    <w:szCs w:val="23"/>
                                    <w:lang w:val="fr-FR"/>
                                  </w:rPr>
                                </w:pPr>
                                <w:r w:rsidRPr="00406EBF">
                                  <w:rPr>
                                    <w:rFonts w:asciiTheme="minorHAnsi" w:hAnsiTheme="minorHAnsi" w:cstheme="minorHAnsi"/>
                                    <w:i w:val="0"/>
                                    <w:color w:val="4F81BD"/>
                                    <w:sz w:val="23"/>
                                    <w:szCs w:val="23"/>
                                    <w:lang w:val="fr-FR"/>
                                  </w:rPr>
                                  <w:t xml:space="preserve">L'action menée par le GRECO a conduit à l'adoption d'un nombre considérable de rapports, qui regorgent d'informations factuelles sur les politiques et les pratiques de lutte contre la corruption en Europe. Ces rapports identifient les réussites et les défaillances de la législation, de la réglementation, des politiques et des dispositifs institutionnels nationaux et formulent des recommandations qui visent à renforcer la capacité des États à lutter contre la corruption et à promouvoir l'intégrité. </w:t>
                                </w:r>
                              </w:p>
                              <w:p w14:paraId="067DD6E7" w14:textId="77777777" w:rsidR="00CA03E6" w:rsidRPr="00406EBF" w:rsidRDefault="00CA03E6"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1"/>
                                    <w:szCs w:val="21"/>
                                    <w:lang w:val="fr-FR"/>
                                  </w:rPr>
                                </w:pPr>
                                <w:r w:rsidRPr="00406EBF">
                                  <w:rPr>
                                    <w:rFonts w:asciiTheme="minorHAnsi" w:hAnsiTheme="minorHAnsi" w:cstheme="minorHAnsi"/>
                                    <w:i w:val="0"/>
                                    <w:color w:val="4F81BD"/>
                                    <w:sz w:val="23"/>
                                    <w:szCs w:val="23"/>
                                    <w:lang w:val="fr-FR"/>
                                  </w:rPr>
                                  <w:t xml:space="preserve">L'adhésion au GRECO est ouverte, sur un pied d'égalité, aux États membres du Conseil de l'Europe et aux États tiers. Les rapports d'évaluation et de conformité adoptés par le GRECO, ainsi que d'autres informations sur le GRECO, sont disponibles sur </w:t>
                                </w:r>
                                <w:hyperlink r:id="rId24" w:history="1">
                                  <w:r w:rsidRPr="00406EBF">
                                    <w:rPr>
                                      <w:rStyle w:val="Lienhypertexte"/>
                                      <w:rFonts w:asciiTheme="minorHAnsi" w:hAnsiTheme="minorHAnsi" w:cstheme="minorHAnsi"/>
                                      <w:i w:val="0"/>
                                      <w:sz w:val="23"/>
                                      <w:szCs w:val="23"/>
                                      <w:lang w:val="fr-FR"/>
                                    </w:rPr>
                                    <w:t>www.coe.int/greco/fr</w:t>
                                  </w:r>
                                </w:hyperlink>
                                <w:r w:rsidRPr="00406EBF">
                                  <w:rPr>
                                    <w:rFonts w:asciiTheme="minorHAnsi" w:hAnsiTheme="minorHAnsi" w:cstheme="minorHAnsi"/>
                                    <w:i w:val="0"/>
                                    <w:color w:val="4F81BD"/>
                                    <w:sz w:val="21"/>
                                    <w:szCs w:val="21"/>
                                    <w:lang w:val="fr-FR"/>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C5CC1" id="_x0000_t202" coordsize="21600,21600" o:spt="202" path="m,l,21600r21600,l21600,xe">
                    <v:stroke joinstyle="miter"/>
                    <v:path gradientshapeok="t" o:connecttype="rect"/>
                  </v:shapetype>
                  <v:shape id="Text Box 3" o:spid="_x0000_s1026" type="#_x0000_t202" style="position:absolute;left:0;text-align:left;margin-left:-4.15pt;margin-top:231.3pt;width:461.25pt;height:405.55pt;z-index:-251657728;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" filled="f" stroked="f" strokeweight=".5pt">
                    <v:textbox style="mso-fit-shape-to-text:t" inset="0,7.2pt,0,7.2pt">
                      <w:txbxContent>
                        <w:p w14:paraId="2B4C16DF" w14:textId="77777777" w:rsidR="00CA03E6" w:rsidRPr="00406EBF" w:rsidRDefault="00CA03E6" w:rsidP="00110734">
                          <w:pPr>
                            <w:pStyle w:val="Quote"/>
                            <w:pBdr>
                              <w:top w:val="single" w:sz="48" w:space="8" w:color="4F81BD"/>
                              <w:bottom w:val="single" w:sz="48" w:space="8" w:color="4F81BD"/>
                            </w:pBdr>
                            <w:spacing w:line="300" w:lineRule="auto"/>
                            <w:jc w:val="center"/>
                            <w:rPr>
                              <w:rFonts w:asciiTheme="minorHAnsi" w:hAnsiTheme="minorHAnsi" w:cstheme="minorHAnsi"/>
                              <w:b/>
                              <w:i w:val="0"/>
                              <w:color w:val="4F81BD"/>
                              <w:sz w:val="21"/>
                              <w:szCs w:val="21"/>
                              <w:lang w:val="fr-FR"/>
                            </w:rPr>
                          </w:pPr>
                          <w:r w:rsidRPr="00406EBF">
                            <w:rPr>
                              <w:rFonts w:asciiTheme="minorHAnsi" w:hAnsiTheme="minorHAnsi" w:cstheme="minorHAnsi"/>
                              <w:b/>
                              <w:i w:val="0"/>
                              <w:color w:val="4F81BD"/>
                              <w:sz w:val="21"/>
                              <w:szCs w:val="21"/>
                              <w:lang w:val="fr-FR"/>
                            </w:rPr>
                            <w:br/>
                            <w:t>Le GRECO</w:t>
                          </w:r>
                        </w:p>
                        <w:p w14:paraId="2116257B" w14:textId="77777777" w:rsidR="00CA03E6" w:rsidRPr="00406EBF" w:rsidRDefault="00CA03E6"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3"/>
                              <w:szCs w:val="23"/>
                              <w:lang w:val="fr-FR"/>
                            </w:rPr>
                          </w:pPr>
                          <w:r w:rsidRPr="00406EBF">
                            <w:rPr>
                              <w:rFonts w:asciiTheme="minorHAnsi" w:hAnsiTheme="minorHAnsi" w:cstheme="minorHAnsi"/>
                              <w:i w:val="0"/>
                              <w:color w:val="4F81BD"/>
                              <w:sz w:val="23"/>
                              <w:szCs w:val="23"/>
                              <w:lang w:val="fr-FR"/>
                            </w:rPr>
                            <w:t>Le Groupe d'États contre la corruption (GRECO) assure le suivi de la conformité de ses 49 États membres avec les instruments de lutte contre la corruption élaborés par le Conseil de l'Europe. L'activité de suivi du GRECO comporte une « procédure d'évaluation », qui repose sur les réponses données par un pays à un questionnaire et sur des visites effectuées sur place, puis une étude d’impact (« procédure de conformité »), qui donne lieu à l'examen des mesures prises par le pays concerné pour mettre en œuvre les recommandations formulées lors de son évaluation. Un processus dynamique d'évaluation mutuelle et de pressions réciproques est appliqué, qui associe l'expertise de professionnels chargés de l'évaluation et la présence de représentants des États qui siègent en plénière.</w:t>
                          </w:r>
                        </w:p>
                        <w:p w14:paraId="69A8A990" w14:textId="77777777" w:rsidR="00CA03E6" w:rsidRPr="00406EBF" w:rsidRDefault="00CA03E6"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3"/>
                              <w:szCs w:val="23"/>
                              <w:lang w:val="fr-FR"/>
                            </w:rPr>
                          </w:pPr>
                          <w:r w:rsidRPr="00406EBF">
                            <w:rPr>
                              <w:rFonts w:asciiTheme="minorHAnsi" w:hAnsiTheme="minorHAnsi" w:cstheme="minorHAnsi"/>
                              <w:i w:val="0"/>
                              <w:color w:val="4F81BD"/>
                              <w:sz w:val="23"/>
                              <w:szCs w:val="23"/>
                              <w:lang w:val="fr-FR"/>
                            </w:rPr>
                            <w:t xml:space="preserve">L'action menée par le GRECO a conduit à l'adoption d'un nombre considérable de rapports, qui regorgent d'informations factuelles sur les politiques et les pratiques de lutte contre la corruption en Europe. Ces rapports identifient les réussites et les défaillances de la législation, de la réglementation, des politiques et des dispositifs institutionnels nationaux et formulent des recommandations qui visent à renforcer la capacité des États à lutter contre la corruption et à promouvoir l'intégrité. </w:t>
                          </w:r>
                        </w:p>
                        <w:p w14:paraId="067DD6E7" w14:textId="77777777" w:rsidR="00CA03E6" w:rsidRPr="00406EBF" w:rsidRDefault="00CA03E6"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1"/>
                              <w:szCs w:val="21"/>
                              <w:lang w:val="fr-FR"/>
                            </w:rPr>
                          </w:pPr>
                          <w:r w:rsidRPr="00406EBF">
                            <w:rPr>
                              <w:rFonts w:asciiTheme="minorHAnsi" w:hAnsiTheme="minorHAnsi" w:cstheme="minorHAnsi"/>
                              <w:i w:val="0"/>
                              <w:color w:val="4F81BD"/>
                              <w:sz w:val="23"/>
                              <w:szCs w:val="23"/>
                              <w:lang w:val="fr-FR"/>
                            </w:rPr>
                            <w:t xml:space="preserve">L'adhésion au GRECO est ouverte, sur un pied d'égalité, aux États membres du Conseil de l'Europe et aux États tiers. Les rapports d'évaluation et de conformité adoptés par le GRECO, ainsi que d'autres informations sur le GRECO, sont disponibles sur </w:t>
                          </w:r>
                          <w:hyperlink r:id="rId25" w:history="1">
                            <w:r w:rsidRPr="00406EBF">
                              <w:rPr>
                                <w:rStyle w:val="Hyperlink"/>
                                <w:rFonts w:asciiTheme="minorHAnsi" w:hAnsiTheme="minorHAnsi" w:cstheme="minorHAnsi"/>
                                <w:i w:val="0"/>
                                <w:sz w:val="23"/>
                                <w:szCs w:val="23"/>
                                <w:lang w:val="fr-FR"/>
                              </w:rPr>
                              <w:t>www.coe.int/greco/fr</w:t>
                            </w:r>
                          </w:hyperlink>
                          <w:r w:rsidRPr="00406EBF">
                            <w:rPr>
                              <w:rFonts w:asciiTheme="minorHAnsi" w:hAnsiTheme="minorHAnsi" w:cstheme="minorHAnsi"/>
                              <w:i w:val="0"/>
                              <w:color w:val="4F81BD"/>
                              <w:sz w:val="21"/>
                              <w:szCs w:val="21"/>
                              <w:lang w:val="fr-FR"/>
                            </w:rPr>
                            <w:t xml:space="preserve">. </w:t>
                          </w:r>
                        </w:p>
                      </w:txbxContent>
                    </v:textbox>
                    <w10:wrap anchorx="margin" anchory="margin"/>
                  </v:shape>
                </w:pict>
              </mc:Fallback>
            </mc:AlternateContent>
          </w:r>
        </w:p>
        <w:bookmarkEnd w:id="198" w:displacedByCustomXml="next"/>
        <w:bookmarkEnd w:id="197" w:displacedByCustomXml="next"/>
        <w:bookmarkEnd w:id="196" w:displacedByCustomXml="next"/>
        <w:bookmarkEnd w:id="195" w:displacedByCustomXml="next"/>
        <w:bookmarkEnd w:id="194" w:displacedByCustomXml="next"/>
        <w:bookmarkEnd w:id="193" w:displacedByCustomXml="next"/>
        <w:bookmarkEnd w:id="192" w:displacedByCustomXml="next"/>
        <w:bookmarkEnd w:id="191" w:displacedByCustomXml="next"/>
        <w:bookmarkEnd w:id="190" w:displacedByCustomXml="next"/>
        <w:bookmarkEnd w:id="189" w:displacedByCustomXml="next"/>
        <w:bookmarkEnd w:id="188" w:displacedByCustomXml="next"/>
      </w:sdtContent>
    </w:sdt>
    <w:bookmarkEnd w:id="206" w:displacedByCustomXml="prev"/>
    <w:bookmarkEnd w:id="205" w:displacedByCustomXml="prev"/>
    <w:bookmarkEnd w:id="204" w:displacedByCustomXml="prev"/>
    <w:bookmarkEnd w:id="203" w:displacedByCustomXml="prev"/>
    <w:bookmarkEnd w:id="202" w:displacedByCustomXml="prev"/>
    <w:bookmarkEnd w:id="201" w:displacedByCustomXml="prev"/>
    <w:bookmarkEnd w:id="200" w:displacedByCustomXml="prev"/>
    <w:bookmarkEnd w:id="199" w:displacedByCustomXml="prev"/>
    <w:sectPr w:rsidR="005F619A" w:rsidRPr="00406EBF" w:rsidSect="000B4D20">
      <w:footerReference w:type="default" r:id="rId26"/>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7DD6" w14:textId="77777777" w:rsidR="007E6083" w:rsidRPr="00406EBF" w:rsidRDefault="007E6083" w:rsidP="00406E8E">
      <w:pPr>
        <w:spacing w:line="240" w:lineRule="auto"/>
        <w:rPr>
          <w:sz w:val="21"/>
          <w:szCs w:val="21"/>
        </w:rPr>
      </w:pPr>
      <w:r w:rsidRPr="00406EBF">
        <w:rPr>
          <w:sz w:val="21"/>
          <w:szCs w:val="21"/>
        </w:rPr>
        <w:separator/>
      </w:r>
    </w:p>
  </w:endnote>
  <w:endnote w:type="continuationSeparator" w:id="0">
    <w:p w14:paraId="5F950123" w14:textId="77777777" w:rsidR="007E6083" w:rsidRPr="00406EBF" w:rsidRDefault="007E6083" w:rsidP="00406E8E">
      <w:pPr>
        <w:spacing w:line="240" w:lineRule="auto"/>
        <w:rPr>
          <w:sz w:val="21"/>
          <w:szCs w:val="21"/>
        </w:rPr>
      </w:pPr>
      <w:r w:rsidRPr="00406EB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Verdana,Bold">
    <w:altName w:val="Times New Roman"/>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350421777"/>
      <w:docPartObj>
        <w:docPartGallery w:val="Page Numbers (Bottom of Page)"/>
        <w:docPartUnique/>
      </w:docPartObj>
    </w:sdtPr>
    <w:sdtEndPr>
      <w:rPr>
        <w:noProof/>
        <w:sz w:val="23"/>
        <w:szCs w:val="23"/>
      </w:rPr>
    </w:sdtEndPr>
    <w:sdtContent>
      <w:p w14:paraId="2BE2D664" w14:textId="77777777" w:rsidR="00CA03E6" w:rsidRPr="00406EBF" w:rsidRDefault="00CA03E6">
        <w:pPr>
          <w:pStyle w:val="Pieddepage"/>
          <w:jc w:val="center"/>
          <w:rPr>
            <w:sz w:val="23"/>
            <w:szCs w:val="23"/>
          </w:rPr>
        </w:pPr>
        <w:r w:rsidRPr="00406EBF">
          <w:rPr>
            <w:sz w:val="23"/>
            <w:szCs w:val="23"/>
          </w:rPr>
          <w:fldChar w:fldCharType="begin"/>
        </w:r>
        <w:r w:rsidRPr="00406EBF">
          <w:rPr>
            <w:sz w:val="23"/>
            <w:szCs w:val="23"/>
          </w:rPr>
          <w:instrText xml:space="preserve"> PAGE   \* MERGEFORMAT </w:instrText>
        </w:r>
        <w:r w:rsidRPr="00406EBF">
          <w:rPr>
            <w:sz w:val="23"/>
            <w:szCs w:val="23"/>
          </w:rPr>
          <w:fldChar w:fldCharType="separate"/>
        </w:r>
        <w:r w:rsidR="00B13797">
          <w:rPr>
            <w:noProof/>
            <w:sz w:val="23"/>
            <w:szCs w:val="23"/>
          </w:rPr>
          <w:t>21</w:t>
        </w:r>
        <w:r w:rsidRPr="00406EBF">
          <w:rPr>
            <w:noProof/>
            <w:sz w:val="23"/>
            <w:szCs w:val="23"/>
          </w:rPr>
          <w:fldChar w:fldCharType="end"/>
        </w:r>
      </w:p>
    </w:sdtContent>
  </w:sdt>
  <w:p w14:paraId="38478E06" w14:textId="77777777" w:rsidR="00CA03E6" w:rsidRPr="00406EBF" w:rsidRDefault="00CA03E6">
    <w:pPr>
      <w:pStyle w:val="Pieddepage"/>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9" w:type="dxa"/>
      <w:tblBorders>
        <w:top w:val="single" w:sz="4" w:space="0" w:color="auto"/>
      </w:tblBorders>
      <w:tblLook w:val="04A0" w:firstRow="1" w:lastRow="0" w:firstColumn="1" w:lastColumn="0" w:noHBand="0" w:noVBand="1"/>
    </w:tblPr>
    <w:tblGrid>
      <w:gridCol w:w="3085"/>
      <w:gridCol w:w="3119"/>
      <w:gridCol w:w="3105"/>
    </w:tblGrid>
    <w:tr w:rsidR="00CA03E6" w:rsidRPr="00406EBF" w14:paraId="529C6EAC" w14:textId="77777777" w:rsidTr="00130B03">
      <w:tc>
        <w:tcPr>
          <w:tcW w:w="3085" w:type="dxa"/>
          <w:tcBorders>
            <w:top w:val="single" w:sz="4" w:space="0" w:color="auto"/>
            <w:left w:val="nil"/>
            <w:bottom w:val="single" w:sz="4" w:space="0" w:color="auto"/>
            <w:right w:val="nil"/>
          </w:tcBorders>
          <w:vAlign w:val="center"/>
        </w:tcPr>
        <w:p w14:paraId="6EF2B699" w14:textId="77777777" w:rsidR="00CA03E6" w:rsidRPr="00406EBF" w:rsidRDefault="00CA03E6" w:rsidP="0058453D">
          <w:pPr>
            <w:tabs>
              <w:tab w:val="center" w:pos="4320"/>
              <w:tab w:val="right" w:pos="8640"/>
            </w:tabs>
            <w:spacing w:before="120" w:line="240" w:lineRule="auto"/>
            <w:rPr>
              <w:rFonts w:cstheme="minorHAnsi"/>
              <w:sz w:val="17"/>
              <w:szCs w:val="17"/>
            </w:rPr>
          </w:pPr>
          <w:r w:rsidRPr="00406EBF">
            <w:rPr>
              <w:rFonts w:cstheme="minorHAnsi"/>
              <w:sz w:val="17"/>
              <w:szCs w:val="17"/>
            </w:rPr>
            <w:t>Secrétariat du GRECO</w:t>
          </w:r>
        </w:p>
        <w:p w14:paraId="705407CF" w14:textId="77777777" w:rsidR="00CA03E6" w:rsidRPr="00406EBF" w:rsidRDefault="00CA03E6" w:rsidP="0058453D">
          <w:pPr>
            <w:tabs>
              <w:tab w:val="center" w:pos="4320"/>
              <w:tab w:val="right" w:pos="8640"/>
            </w:tabs>
            <w:spacing w:line="240" w:lineRule="auto"/>
            <w:rPr>
              <w:rFonts w:cstheme="minorHAnsi"/>
              <w:sz w:val="17"/>
              <w:szCs w:val="17"/>
            </w:rPr>
          </w:pPr>
          <w:r w:rsidRPr="00406EBF">
            <w:rPr>
              <w:rFonts w:cstheme="minorHAnsi"/>
              <w:sz w:val="17"/>
              <w:szCs w:val="17"/>
            </w:rPr>
            <w:t xml:space="preserve">Conseil de l’Europe </w:t>
          </w:r>
        </w:p>
        <w:p w14:paraId="62BC96B2" w14:textId="77777777" w:rsidR="00CA03E6" w:rsidRPr="00406EBF" w:rsidRDefault="00CA03E6" w:rsidP="0058453D">
          <w:pPr>
            <w:tabs>
              <w:tab w:val="center" w:pos="4320"/>
              <w:tab w:val="right" w:pos="8640"/>
            </w:tabs>
            <w:spacing w:line="240" w:lineRule="auto"/>
            <w:rPr>
              <w:rFonts w:cstheme="minorHAnsi"/>
              <w:sz w:val="17"/>
              <w:szCs w:val="17"/>
              <w:lang w:val="en-GB"/>
            </w:rPr>
          </w:pPr>
          <w:r w:rsidRPr="00406EBF">
            <w:rPr>
              <w:rFonts w:cstheme="minorHAnsi"/>
              <w:sz w:val="17"/>
              <w:szCs w:val="17"/>
              <w:lang w:val="en-GB"/>
            </w:rPr>
            <w:t>F-67075 Strasbourg Cedex</w:t>
          </w:r>
        </w:p>
        <w:p w14:paraId="77EE064C" w14:textId="77777777" w:rsidR="00CA03E6" w:rsidRPr="00406EBF" w:rsidRDefault="00CA03E6" w:rsidP="00B709B0">
          <w:pPr>
            <w:tabs>
              <w:tab w:val="center" w:pos="4320"/>
              <w:tab w:val="right" w:pos="8640"/>
            </w:tabs>
            <w:spacing w:line="240" w:lineRule="auto"/>
            <w:rPr>
              <w:rFonts w:cstheme="minorHAnsi"/>
              <w:sz w:val="17"/>
              <w:szCs w:val="17"/>
              <w:lang w:val="en-GB"/>
            </w:rPr>
          </w:pPr>
          <w:r w:rsidRPr="00406EBF">
            <w:rPr>
              <w:rFonts w:cstheme="minorHAnsi"/>
              <w:sz w:val="17"/>
              <w:szCs w:val="17"/>
              <w:lang w:val="en-GB"/>
            </w:rPr>
            <w:t>Tél. +33 3 88 41 20 00</w:t>
          </w:r>
        </w:p>
      </w:tc>
      <w:tc>
        <w:tcPr>
          <w:tcW w:w="3119" w:type="dxa"/>
          <w:tcBorders>
            <w:top w:val="single" w:sz="4" w:space="0" w:color="auto"/>
            <w:left w:val="nil"/>
            <w:bottom w:val="single" w:sz="4" w:space="0" w:color="auto"/>
            <w:right w:val="nil"/>
          </w:tcBorders>
          <w:vAlign w:val="center"/>
        </w:tcPr>
        <w:p w14:paraId="0174976F" w14:textId="77777777" w:rsidR="00CA03E6" w:rsidRPr="00406EBF" w:rsidRDefault="007E6083" w:rsidP="00B709B0">
          <w:pPr>
            <w:tabs>
              <w:tab w:val="center" w:pos="4320"/>
              <w:tab w:val="right" w:pos="8640"/>
            </w:tabs>
            <w:spacing w:line="240" w:lineRule="auto"/>
            <w:ind w:firstLine="39"/>
            <w:jc w:val="center"/>
            <w:rPr>
              <w:rFonts w:cstheme="minorHAnsi"/>
              <w:color w:val="0000FF"/>
              <w:sz w:val="17"/>
              <w:szCs w:val="17"/>
              <w:lang w:val="en-GB"/>
            </w:rPr>
          </w:pPr>
          <w:hyperlink r:id="rId1" w:history="1">
            <w:r w:rsidR="00CA03E6" w:rsidRPr="00406EBF">
              <w:rPr>
                <w:rStyle w:val="Lienhypertexte"/>
                <w:rFonts w:cstheme="minorHAnsi"/>
                <w:sz w:val="21"/>
                <w:szCs w:val="21"/>
                <w:lang w:val="en-GB"/>
              </w:rPr>
              <w:t>www.coe.int/greco</w:t>
            </w:r>
          </w:hyperlink>
          <w:r w:rsidR="00CA03E6" w:rsidRPr="00406EBF">
            <w:rPr>
              <w:rStyle w:val="Lienhypertexte"/>
              <w:rFonts w:cstheme="minorHAnsi"/>
              <w:sz w:val="21"/>
              <w:szCs w:val="21"/>
              <w:lang w:val="en-GB"/>
            </w:rPr>
            <w:t>/fr</w:t>
          </w:r>
        </w:p>
      </w:tc>
      <w:tc>
        <w:tcPr>
          <w:tcW w:w="3105" w:type="dxa"/>
          <w:tcBorders>
            <w:top w:val="single" w:sz="4" w:space="0" w:color="auto"/>
            <w:left w:val="nil"/>
            <w:bottom w:val="single" w:sz="4" w:space="0" w:color="auto"/>
            <w:right w:val="nil"/>
          </w:tcBorders>
          <w:vAlign w:val="center"/>
        </w:tcPr>
        <w:p w14:paraId="70E240AF" w14:textId="77777777" w:rsidR="00CA03E6" w:rsidRPr="00406EBF" w:rsidRDefault="00CA03E6" w:rsidP="0058453D">
          <w:pPr>
            <w:tabs>
              <w:tab w:val="center" w:pos="4320"/>
              <w:tab w:val="right" w:pos="8640"/>
            </w:tabs>
            <w:spacing w:before="120" w:line="240" w:lineRule="auto"/>
            <w:jc w:val="right"/>
            <w:rPr>
              <w:rFonts w:cstheme="minorHAnsi"/>
              <w:sz w:val="17"/>
              <w:szCs w:val="17"/>
            </w:rPr>
          </w:pPr>
          <w:r w:rsidRPr="00406EBF">
            <w:rPr>
              <w:rFonts w:cstheme="minorHAnsi"/>
              <w:sz w:val="17"/>
              <w:szCs w:val="17"/>
            </w:rPr>
            <w:t>Direction Générale I</w:t>
          </w:r>
        </w:p>
        <w:p w14:paraId="32D85EBB" w14:textId="77777777" w:rsidR="00CA03E6" w:rsidRPr="00406EBF" w:rsidRDefault="00CA03E6" w:rsidP="0058453D">
          <w:pPr>
            <w:tabs>
              <w:tab w:val="center" w:pos="4320"/>
              <w:tab w:val="right" w:pos="8640"/>
            </w:tabs>
            <w:spacing w:line="240" w:lineRule="auto"/>
            <w:jc w:val="right"/>
            <w:rPr>
              <w:rFonts w:cstheme="minorHAnsi"/>
              <w:sz w:val="17"/>
              <w:szCs w:val="17"/>
            </w:rPr>
          </w:pPr>
          <w:r w:rsidRPr="00406EBF">
            <w:rPr>
              <w:rFonts w:cstheme="minorHAnsi"/>
              <w:sz w:val="17"/>
              <w:szCs w:val="17"/>
            </w:rPr>
            <w:t>Droits de l’Homme et État de droit</w:t>
          </w:r>
        </w:p>
        <w:p w14:paraId="31B6F331" w14:textId="77777777" w:rsidR="00CA03E6" w:rsidRPr="00406EBF" w:rsidRDefault="00CA03E6" w:rsidP="00130B03">
          <w:pPr>
            <w:tabs>
              <w:tab w:val="center" w:pos="4320"/>
              <w:tab w:val="right" w:pos="8640"/>
            </w:tabs>
            <w:spacing w:line="240" w:lineRule="auto"/>
            <w:jc w:val="right"/>
            <w:rPr>
              <w:rFonts w:cstheme="minorHAnsi"/>
              <w:sz w:val="17"/>
              <w:szCs w:val="17"/>
            </w:rPr>
          </w:pPr>
          <w:r w:rsidRPr="00406EBF">
            <w:rPr>
              <w:rFonts w:cstheme="minorHAnsi"/>
              <w:sz w:val="17"/>
              <w:szCs w:val="17"/>
            </w:rPr>
            <w:t>Direction de la société de l’information et de la lutte contre la criminalité</w:t>
          </w:r>
        </w:p>
      </w:tc>
    </w:tr>
  </w:tbl>
  <w:p w14:paraId="564EAE73" w14:textId="77777777" w:rsidR="00CA03E6" w:rsidRPr="00406EBF" w:rsidRDefault="00CA03E6" w:rsidP="000B4D20">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BF150" w14:textId="77777777" w:rsidR="007E6083" w:rsidRPr="00406EBF" w:rsidRDefault="007E6083" w:rsidP="00406E8E">
      <w:pPr>
        <w:spacing w:line="240" w:lineRule="auto"/>
        <w:rPr>
          <w:sz w:val="21"/>
          <w:szCs w:val="21"/>
        </w:rPr>
      </w:pPr>
      <w:r w:rsidRPr="00406EBF">
        <w:rPr>
          <w:sz w:val="21"/>
          <w:szCs w:val="21"/>
        </w:rPr>
        <w:separator/>
      </w:r>
    </w:p>
  </w:footnote>
  <w:footnote w:type="continuationSeparator" w:id="0">
    <w:p w14:paraId="7C8B6DE3" w14:textId="77777777" w:rsidR="007E6083" w:rsidRPr="00406EBF" w:rsidRDefault="007E6083" w:rsidP="00406E8E">
      <w:pPr>
        <w:spacing w:line="240" w:lineRule="auto"/>
        <w:rPr>
          <w:sz w:val="21"/>
          <w:szCs w:val="21"/>
        </w:rPr>
      </w:pPr>
      <w:r w:rsidRPr="00406EBF">
        <w:rPr>
          <w:sz w:val="21"/>
          <w:szCs w:val="21"/>
        </w:rPr>
        <w:continuationSeparator/>
      </w:r>
    </w:p>
  </w:footnote>
  <w:footnote w:id="1">
    <w:p w14:paraId="5B8CE483" w14:textId="77777777" w:rsidR="00CA03E6" w:rsidRPr="00406EBF" w:rsidRDefault="00CA03E6" w:rsidP="008A374A">
      <w:pPr>
        <w:pStyle w:val="Notedebasdepage"/>
        <w:jc w:val="both"/>
        <w:rPr>
          <w:rFonts w:asciiTheme="minorHAnsi" w:hAnsiTheme="minorHAnsi" w:cstheme="minorHAnsi"/>
          <w:sz w:val="19"/>
          <w:szCs w:val="19"/>
          <w:lang w:val="fr-FR"/>
        </w:rPr>
      </w:pPr>
      <w:r w:rsidRPr="00406EBF">
        <w:rPr>
          <w:rStyle w:val="Appelnotedebasdep"/>
          <w:rFonts w:asciiTheme="minorHAnsi" w:hAnsiTheme="minorHAnsi" w:cstheme="minorHAnsi"/>
          <w:sz w:val="19"/>
          <w:szCs w:val="19"/>
          <w:lang w:val="fr-FR"/>
        </w:rPr>
        <w:footnoteRef/>
      </w:r>
      <w:r w:rsidRPr="00406EBF">
        <w:rPr>
          <w:rFonts w:asciiTheme="minorHAnsi" w:hAnsiTheme="minorHAnsi" w:cstheme="minorHAnsi"/>
          <w:sz w:val="19"/>
          <w:szCs w:val="19"/>
          <w:lang w:val="fr-FR"/>
        </w:rPr>
        <w:t xml:space="preserve"> Pour plus de précisions sur la méthodologie employée, consulter le Questionnaire d’Évaluation disponible sur le </w:t>
      </w:r>
      <w:hyperlink r:id="rId1" w:history="1">
        <w:r w:rsidRPr="00406EBF">
          <w:rPr>
            <w:rStyle w:val="Lienhypertexte"/>
            <w:rFonts w:asciiTheme="minorHAnsi" w:eastAsiaTheme="majorEastAsia" w:hAnsiTheme="minorHAnsi" w:cstheme="minorHAnsi"/>
            <w:sz w:val="19"/>
            <w:szCs w:val="19"/>
            <w:lang w:val="fr-FR"/>
          </w:rPr>
          <w:t>site internet</w:t>
        </w:r>
      </w:hyperlink>
      <w:r w:rsidRPr="00406EBF">
        <w:rPr>
          <w:rStyle w:val="Lienhypertexte"/>
          <w:rFonts w:asciiTheme="minorHAnsi" w:eastAsiaTheme="majorEastAsia" w:hAnsiTheme="minorHAnsi" w:cstheme="minorHAnsi"/>
          <w:sz w:val="19"/>
          <w:szCs w:val="19"/>
          <w:lang w:val="fr-FR"/>
        </w:rPr>
        <w:t xml:space="preserve"> </w:t>
      </w:r>
      <w:r w:rsidRPr="00406EBF">
        <w:rPr>
          <w:rFonts w:asciiTheme="minorHAnsi" w:hAnsiTheme="minorHAnsi" w:cstheme="minorHAnsi"/>
          <w:sz w:val="19"/>
          <w:szCs w:val="19"/>
          <w:lang w:val="fr-FR"/>
        </w:rPr>
        <w:t>du GRECO.</w:t>
      </w:r>
    </w:p>
  </w:footnote>
  <w:footnote w:id="2">
    <w:p w14:paraId="47275247" w14:textId="77777777" w:rsidR="00CA03E6" w:rsidRPr="00406EBF" w:rsidRDefault="00CA03E6" w:rsidP="00D119F2">
      <w:pPr>
        <w:pStyle w:val="Notedebasdepage"/>
        <w:jc w:val="both"/>
        <w:rPr>
          <w:rFonts w:asciiTheme="minorHAnsi" w:hAnsiTheme="minorHAnsi" w:cstheme="minorHAnsi"/>
          <w:sz w:val="17"/>
          <w:szCs w:val="17"/>
          <w:lang w:val="fr-LU"/>
        </w:rPr>
      </w:pPr>
      <w:r w:rsidRPr="00406EBF">
        <w:rPr>
          <w:rStyle w:val="Appelnotedebasdep"/>
          <w:sz w:val="19"/>
          <w:szCs w:val="19"/>
        </w:rPr>
        <w:footnoteRef/>
      </w:r>
      <w:r w:rsidRPr="00406EBF">
        <w:rPr>
          <w:sz w:val="19"/>
          <w:szCs w:val="19"/>
          <w:lang w:val="fr-FR"/>
        </w:rPr>
        <w:t xml:space="preserve"> </w:t>
      </w:r>
      <w:r w:rsidRPr="00406EBF">
        <w:rPr>
          <w:rFonts w:ascii="Calibri" w:hAnsi="Calibri" w:cs="Calibri"/>
          <w:sz w:val="19"/>
          <w:szCs w:val="19"/>
          <w:lang w:val="fr-FR"/>
        </w:rPr>
        <w:t>Cycle d’Évaluation I : Indépendance et spécialisation des organes nationaux engagés dans la prévention de la corruption et la lutte contre ce phénomène ainsi que les moyens mis à leur disposition. Étendue et portée des immunités. Cycle d’Évaluation II : Identification, saisie et confiscation des produits de la corruption. Administration publique et corruption. Prévention de l’utilisation de personnes morales pour dissimuler des faits de corruption. Législation fiscale et financière visant à lutter contre la corruption. Liens entre corruption, criminalité organisée et blanchiment d’argent. Cycle d’Évaluation III: Incrimination de la corruption. Transparence du financement des partis politiques. Cycle d’Évaluation IV: Prévention de la corruption des parlementaires, des juges et des procureurs.</w:t>
      </w:r>
    </w:p>
  </w:footnote>
  <w:footnote w:id="3">
    <w:p w14:paraId="4A8C3BB8" w14:textId="77777777" w:rsidR="00CA03E6" w:rsidRPr="00406EBF" w:rsidRDefault="00CA03E6">
      <w:pPr>
        <w:pStyle w:val="Notedebasdepage"/>
        <w:rPr>
          <w:sz w:val="19"/>
          <w:szCs w:val="19"/>
          <w:lang w:val="fr-LU"/>
        </w:rPr>
      </w:pPr>
      <w:r w:rsidRPr="00406EBF">
        <w:rPr>
          <w:rStyle w:val="Appelnotedebasdep"/>
          <w:sz w:val="19"/>
          <w:szCs w:val="19"/>
        </w:rPr>
        <w:footnoteRef/>
      </w:r>
      <w:r w:rsidRPr="00406EBF">
        <w:rPr>
          <w:sz w:val="19"/>
          <w:szCs w:val="19"/>
          <w:lang w:val="fr-LU"/>
        </w:rPr>
        <w:t xml:space="preserve"> </w:t>
      </w:r>
      <w:hyperlink r:id="rId2" w:history="1">
        <w:r w:rsidRPr="00406EBF">
          <w:rPr>
            <w:rStyle w:val="Lienhypertexte"/>
            <w:rFonts w:asciiTheme="minorHAnsi" w:hAnsiTheme="minorHAnsi" w:cstheme="minorHAnsi"/>
            <w:sz w:val="19"/>
            <w:szCs w:val="19"/>
            <w:lang w:val="fr-LU"/>
          </w:rPr>
          <w:t>https://www.transparency.org/cpi2018</w:t>
        </w:r>
      </w:hyperlink>
    </w:p>
  </w:footnote>
  <w:footnote w:id="4">
    <w:p w14:paraId="00DBD817" w14:textId="77777777" w:rsidR="00CA03E6" w:rsidRPr="00406EBF" w:rsidRDefault="00CA03E6">
      <w:pPr>
        <w:pStyle w:val="Notedebasdepage"/>
        <w:rPr>
          <w:rStyle w:val="Lienhypertexte"/>
          <w:rFonts w:asciiTheme="minorHAnsi" w:hAnsiTheme="minorHAnsi" w:cstheme="minorHAnsi"/>
          <w:sz w:val="19"/>
          <w:szCs w:val="19"/>
          <w:lang w:val="fr-LU"/>
        </w:rPr>
      </w:pPr>
      <w:r w:rsidRPr="00406EBF">
        <w:rPr>
          <w:rStyle w:val="Appelnotedebasdep"/>
          <w:sz w:val="19"/>
          <w:szCs w:val="19"/>
        </w:rPr>
        <w:footnoteRef/>
      </w:r>
      <w:hyperlink r:id="rId3" w:history="1">
        <w:r w:rsidRPr="00406EBF">
          <w:rPr>
            <w:rStyle w:val="Lienhypertexte"/>
            <w:rFonts w:asciiTheme="minorHAnsi" w:hAnsiTheme="minorHAnsi" w:cstheme="minorHAnsi"/>
            <w:sz w:val="19"/>
            <w:szCs w:val="19"/>
            <w:lang w:val="fr-LU"/>
          </w:rPr>
          <w:t>https://ec.europa.eu/commfrontoffice/publicopinion/index.cfm/Survey/getSurveyDetail/instruments/SPECIAL/surveyKy/2176</w:t>
        </w:r>
      </w:hyperlink>
      <w:r w:rsidRPr="00406EBF">
        <w:rPr>
          <w:rStyle w:val="Lienhypertexte"/>
          <w:rFonts w:asciiTheme="minorHAnsi" w:hAnsiTheme="minorHAnsi" w:cstheme="minorHAnsi"/>
          <w:sz w:val="19"/>
          <w:szCs w:val="19"/>
          <w:lang w:val="fr-LU"/>
        </w:rPr>
        <w:t xml:space="preserve"> </w:t>
      </w:r>
    </w:p>
  </w:footnote>
  <w:footnote w:id="5">
    <w:p w14:paraId="0CFDA075" w14:textId="77777777" w:rsidR="00CA03E6" w:rsidRPr="00406EBF" w:rsidRDefault="00CA03E6">
      <w:pPr>
        <w:pStyle w:val="Notedebasdepage"/>
        <w:rPr>
          <w:rStyle w:val="Lienhypertexte"/>
          <w:rFonts w:asciiTheme="minorHAnsi" w:hAnsiTheme="minorHAnsi" w:cstheme="minorHAnsi"/>
          <w:sz w:val="19"/>
          <w:szCs w:val="19"/>
          <w:lang w:val="fr-LU"/>
        </w:rPr>
      </w:pPr>
      <w:r w:rsidRPr="00406EBF">
        <w:rPr>
          <w:rStyle w:val="Appelnotedebasdep"/>
          <w:sz w:val="19"/>
          <w:szCs w:val="19"/>
        </w:rPr>
        <w:footnoteRef/>
      </w:r>
      <w:r w:rsidRPr="00406EBF">
        <w:rPr>
          <w:sz w:val="19"/>
          <w:szCs w:val="19"/>
          <w:lang w:val="fr-LU"/>
        </w:rPr>
        <w:t xml:space="preserve"> </w:t>
      </w:r>
      <w:hyperlink r:id="rId4" w:history="1">
        <w:r w:rsidRPr="00406EBF">
          <w:rPr>
            <w:rStyle w:val="Lienhypertexte"/>
            <w:rFonts w:asciiTheme="minorHAnsi" w:hAnsiTheme="minorHAnsi" w:cstheme="minorHAnsi"/>
            <w:sz w:val="19"/>
            <w:szCs w:val="19"/>
            <w:lang w:val="fr-LU"/>
          </w:rPr>
          <w:t>https://ec.europa.eu/home-affairs/sites/homeaffairs/files/what-we-do/policies/organized-crime-and-human-trafficking/corruption/anti-corruption-report/docs/2014_acr_belgium_chapter_fr.pdf</w:t>
        </w:r>
      </w:hyperlink>
      <w:r w:rsidRPr="00406EBF">
        <w:rPr>
          <w:rStyle w:val="Lienhypertexte"/>
          <w:rFonts w:asciiTheme="minorHAnsi" w:hAnsiTheme="minorHAnsi" w:cstheme="minorHAnsi"/>
          <w:sz w:val="19"/>
          <w:szCs w:val="19"/>
          <w:lang w:val="fr-LU"/>
        </w:rPr>
        <w:t xml:space="preserve"> </w:t>
      </w:r>
    </w:p>
  </w:footnote>
  <w:footnote w:id="6">
    <w:p w14:paraId="79016186" w14:textId="77777777" w:rsidR="00CA03E6" w:rsidRPr="00406EBF" w:rsidRDefault="00CA03E6">
      <w:pPr>
        <w:pStyle w:val="Notedebasdepage"/>
        <w:rPr>
          <w:rStyle w:val="Lienhypertexte"/>
          <w:rFonts w:asciiTheme="minorHAnsi" w:hAnsiTheme="minorHAnsi"/>
          <w:sz w:val="19"/>
          <w:szCs w:val="19"/>
          <w:lang w:val="fr-FR"/>
        </w:rPr>
      </w:pPr>
      <w:bookmarkStart w:id="16" w:name="_Hlk21419991"/>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LU"/>
        </w:rPr>
        <w:t xml:space="preserve"> Voir notamment</w:t>
      </w:r>
      <w:r w:rsidRPr="00406EBF">
        <w:rPr>
          <w:sz w:val="19"/>
          <w:szCs w:val="19"/>
          <w:lang w:val="fr-LU"/>
        </w:rPr>
        <w:t xml:space="preserve"> </w:t>
      </w:r>
      <w:hyperlink r:id="rId5" w:history="1">
        <w:r w:rsidRPr="00406EBF">
          <w:rPr>
            <w:rStyle w:val="Lienhypertexte"/>
            <w:rFonts w:asciiTheme="minorHAnsi" w:hAnsiTheme="minorHAnsi"/>
            <w:sz w:val="19"/>
            <w:szCs w:val="19"/>
            <w:lang w:val="fr-FR"/>
          </w:rPr>
          <w:t>https://www.levif.be/actualite/belgique/commission-kazakhgate-les-conclusions-rabotees-par-la-majorite/article-normal-820359.html</w:t>
        </w:r>
      </w:hyperlink>
      <w:bookmarkEnd w:id="16"/>
    </w:p>
  </w:footnote>
  <w:footnote w:id="7">
    <w:p w14:paraId="45073FC9" w14:textId="77777777" w:rsidR="00CA03E6" w:rsidRPr="00406EBF" w:rsidRDefault="00CA03E6">
      <w:pPr>
        <w:pStyle w:val="Notedebasdepage"/>
        <w:rPr>
          <w:sz w:val="19"/>
          <w:szCs w:val="19"/>
          <w:lang w:val="fr-FR"/>
        </w:rPr>
      </w:pPr>
      <w:r w:rsidRPr="00406EBF">
        <w:rPr>
          <w:rStyle w:val="Appelnotedebasdep"/>
          <w:rFonts w:cstheme="minorHAnsi"/>
          <w:sz w:val="19"/>
          <w:szCs w:val="19"/>
        </w:rPr>
        <w:footnoteRef/>
      </w:r>
      <w:r w:rsidRPr="00D37E76">
        <w:rPr>
          <w:rStyle w:val="Appelnotedebasdep"/>
          <w:rFonts w:cstheme="minorHAnsi"/>
          <w:sz w:val="19"/>
          <w:szCs w:val="19"/>
          <w:lang w:val="fr-FR"/>
        </w:rPr>
        <w:t xml:space="preserve"> </w:t>
      </w:r>
      <w:hyperlink r:id="rId6" w:history="1">
        <w:r w:rsidRPr="00406EBF">
          <w:rPr>
            <w:rStyle w:val="Lienhypertexte"/>
            <w:rFonts w:asciiTheme="minorHAnsi" w:hAnsiTheme="minorHAnsi"/>
            <w:sz w:val="19"/>
            <w:szCs w:val="19"/>
            <w:lang w:val="fr-FR"/>
          </w:rPr>
          <w:t>https://www.rtbf.be/info/belgique/detail_gel-des-avoirs-libyens-nouveau-scandale-d-etat?id=10056295</w:t>
        </w:r>
      </w:hyperlink>
      <w:r w:rsidRPr="00406EBF">
        <w:rPr>
          <w:sz w:val="19"/>
          <w:szCs w:val="19"/>
          <w:lang w:val="fr-FR"/>
        </w:rPr>
        <w:t xml:space="preserve"> </w:t>
      </w:r>
    </w:p>
  </w:footnote>
  <w:footnote w:id="8">
    <w:p w14:paraId="4226EC0B" w14:textId="77777777" w:rsidR="00CA03E6" w:rsidRPr="00406EBF" w:rsidRDefault="00CA03E6">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hyperlink r:id="rId7" w:history="1">
        <w:r w:rsidRPr="00406EBF">
          <w:rPr>
            <w:rStyle w:val="Lienhypertexte"/>
            <w:rFonts w:asciiTheme="minorHAnsi" w:hAnsiTheme="minorHAnsi"/>
            <w:sz w:val="19"/>
            <w:szCs w:val="19"/>
            <w:lang w:val="fr-FR"/>
          </w:rPr>
          <w:t>http://senate.be/doc/const_fr.html</w:t>
        </w:r>
      </w:hyperlink>
    </w:p>
  </w:footnote>
  <w:footnote w:id="9">
    <w:p w14:paraId="6A3A3CA8" w14:textId="77777777" w:rsidR="00CA03E6" w:rsidRPr="00406EBF" w:rsidRDefault="00CA03E6" w:rsidP="00481422">
      <w:pPr>
        <w:pStyle w:val="Notedebasdepage"/>
        <w:rPr>
          <w:rFonts w:asciiTheme="minorHAnsi" w:hAnsiTheme="minorHAnsi"/>
          <w:sz w:val="19"/>
          <w:szCs w:val="19"/>
          <w:lang w:val="fr-FR"/>
        </w:rPr>
      </w:pPr>
      <w:r w:rsidRPr="00406EBF">
        <w:rPr>
          <w:rStyle w:val="Appelnotedebasdep"/>
          <w:rFonts w:asciiTheme="minorHAnsi" w:hAnsiTheme="minorHAnsi"/>
          <w:sz w:val="19"/>
          <w:szCs w:val="19"/>
        </w:rPr>
        <w:footnoteRef/>
      </w:r>
      <w:r w:rsidRPr="00406EBF">
        <w:rPr>
          <w:rFonts w:asciiTheme="minorHAnsi" w:hAnsiTheme="minorHAnsi"/>
          <w:sz w:val="19"/>
          <w:szCs w:val="19"/>
          <w:lang w:val="fr-FR"/>
        </w:rPr>
        <w:t xml:space="preserve"> </w:t>
      </w:r>
      <w:r w:rsidRPr="00406EBF">
        <w:rPr>
          <w:rFonts w:asciiTheme="minorHAnsi" w:hAnsiTheme="minorHAnsi"/>
          <w:sz w:val="19"/>
          <w:szCs w:val="19"/>
          <w:lang w:val="fr-BE" w:eastAsia="fr-FR"/>
        </w:rPr>
        <w:t>Situation en novembre 2018, indice pivot 138,01 – ajustement 1,7069. A titre de comparaison, selon l’office belge de statistique, pour l’année 2016, un salarié à temps plein perçoit en Belgique un salaire mensuel brut moyen de 3.489 euros. La moitié des salariés gagne plus de 3.053 euros par mois. 10% gagne moins de 2.233 euros tandis que 10% gagne plus de 5.381 euros.</w:t>
      </w:r>
    </w:p>
  </w:footnote>
  <w:footnote w:id="10">
    <w:p w14:paraId="5735F0FE" w14:textId="77777777" w:rsidR="00CA03E6" w:rsidRPr="00406EBF" w:rsidRDefault="00CA03E6">
      <w:pPr>
        <w:pStyle w:val="Notedebasdepage"/>
        <w:rPr>
          <w:rFonts w:asciiTheme="minorHAnsi" w:hAnsiTheme="minorHAnsi" w:cstheme="minorHAnsi"/>
          <w:sz w:val="19"/>
          <w:szCs w:val="19"/>
          <w:lang w:val="fr-FR"/>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FR"/>
        </w:rPr>
        <w:t xml:space="preserve"> </w:t>
      </w:r>
      <w:hyperlink r:id="rId8" w:history="1">
        <w:r w:rsidRPr="00406EBF">
          <w:rPr>
            <w:rStyle w:val="Lienhypertexte"/>
            <w:rFonts w:asciiTheme="minorHAnsi" w:hAnsiTheme="minorHAnsi" w:cstheme="minorHAnsi"/>
            <w:sz w:val="19"/>
            <w:szCs w:val="19"/>
            <w:lang w:val="fr-FR"/>
          </w:rPr>
          <w:t>www.belgium.be</w:t>
        </w:r>
      </w:hyperlink>
      <w:r w:rsidRPr="00406EBF">
        <w:rPr>
          <w:rFonts w:asciiTheme="minorHAnsi" w:hAnsiTheme="minorHAnsi" w:cstheme="minorHAnsi"/>
          <w:sz w:val="19"/>
          <w:szCs w:val="19"/>
          <w:lang w:val="fr-FR"/>
        </w:rPr>
        <w:t xml:space="preserve"> et </w:t>
      </w:r>
      <w:hyperlink r:id="rId9" w:history="1">
        <w:r w:rsidRPr="00406EBF">
          <w:rPr>
            <w:rStyle w:val="Lienhypertexte"/>
            <w:rFonts w:asciiTheme="minorHAnsi" w:hAnsiTheme="minorHAnsi" w:cstheme="minorHAnsi"/>
            <w:sz w:val="19"/>
            <w:szCs w:val="19"/>
            <w:lang w:val="fr-FR"/>
          </w:rPr>
          <w:t>www.cabineto.be</w:t>
        </w:r>
      </w:hyperlink>
      <w:r w:rsidRPr="00406EBF">
        <w:rPr>
          <w:rFonts w:asciiTheme="minorHAnsi" w:hAnsiTheme="minorHAnsi" w:cstheme="minorHAnsi"/>
          <w:sz w:val="19"/>
          <w:szCs w:val="19"/>
          <w:lang w:val="fr-FR"/>
        </w:rPr>
        <w:t xml:space="preserve">. </w:t>
      </w:r>
    </w:p>
  </w:footnote>
  <w:footnote w:id="11">
    <w:p w14:paraId="4B6B12B2" w14:textId="43747AC8" w:rsidR="00CA03E6" w:rsidRPr="001D5476" w:rsidRDefault="00CA03E6" w:rsidP="001D5476">
      <w:pPr>
        <w:pStyle w:val="Notedebasdepage"/>
        <w:jc w:val="both"/>
        <w:rPr>
          <w:lang w:val="fr-FR"/>
        </w:rPr>
      </w:pPr>
      <w:r w:rsidRPr="006522C2">
        <w:rPr>
          <w:rStyle w:val="Appelnotedebasdep"/>
          <w:rFonts w:asciiTheme="minorHAnsi" w:hAnsiTheme="minorHAnsi" w:cstheme="minorHAnsi"/>
          <w:sz w:val="19"/>
          <w:szCs w:val="19"/>
        </w:rPr>
        <w:footnoteRef/>
      </w:r>
      <w:r w:rsidRPr="001D5476">
        <w:rPr>
          <w:rStyle w:val="Appelnotedebasdep"/>
          <w:rFonts w:asciiTheme="minorHAnsi" w:hAnsiTheme="minorHAnsi" w:cstheme="minorHAnsi"/>
          <w:sz w:val="19"/>
          <w:szCs w:val="19"/>
          <w:lang w:val="fr-FR"/>
        </w:rPr>
        <w:t xml:space="preserve"> </w:t>
      </w:r>
      <w:r w:rsidRPr="001D5476">
        <w:rPr>
          <w:rFonts w:asciiTheme="minorHAnsi" w:hAnsiTheme="minorHAnsi" w:cstheme="minorHAnsi"/>
          <w:sz w:val="19"/>
          <w:szCs w:val="19"/>
          <w:lang w:val="fr-FR"/>
        </w:rPr>
        <w:t>Suivant les conclusions</w:t>
      </w:r>
      <w:r>
        <w:rPr>
          <w:rFonts w:asciiTheme="minorHAnsi" w:hAnsiTheme="minorHAnsi" w:cstheme="minorHAnsi"/>
          <w:sz w:val="19"/>
          <w:szCs w:val="19"/>
          <w:lang w:val="fr-FR"/>
        </w:rPr>
        <w:t>, en 2017,</w:t>
      </w:r>
      <w:r w:rsidRPr="001D5476">
        <w:rPr>
          <w:rFonts w:asciiTheme="minorHAnsi" w:hAnsiTheme="minorHAnsi" w:cstheme="minorHAnsi"/>
          <w:sz w:val="19"/>
          <w:szCs w:val="19"/>
          <w:lang w:val="fr-FR"/>
        </w:rPr>
        <w:t xml:space="preserve"> du g</w:t>
      </w:r>
      <w:r>
        <w:rPr>
          <w:rFonts w:asciiTheme="minorHAnsi" w:hAnsiTheme="minorHAnsi" w:cstheme="minorHAnsi"/>
          <w:sz w:val="19"/>
          <w:szCs w:val="19"/>
          <w:lang w:val="fr-FR"/>
        </w:rPr>
        <w:t>roupe de travail « Renouveau politique » de la Chambre des représentants, il est proposé que la Chambre conclue un protocole avec le (nouveau) gouvernement afin de publier sur le site belgium.be une liste de la composition des cabinets qui sera régulièrement mise à jour. Le groupe de travail a préféré un protocole à une initiative législative parce que c’est un instrument flexible qui a fait ses preuves au niveau du Parlement flamand.</w:t>
      </w:r>
    </w:p>
  </w:footnote>
  <w:footnote w:id="12">
    <w:p w14:paraId="65B90902" w14:textId="77777777" w:rsidR="00CA03E6" w:rsidRPr="00406EBF" w:rsidRDefault="00CA03E6" w:rsidP="00D067A2">
      <w:pPr>
        <w:pStyle w:val="Notedebasdepage"/>
        <w:jc w:val="both"/>
        <w:rPr>
          <w:rFonts w:asciiTheme="minorHAnsi" w:hAnsiTheme="minorHAnsi" w:cstheme="minorHAnsi"/>
          <w:sz w:val="19"/>
          <w:szCs w:val="19"/>
          <w:lang w:val="fr-FR"/>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FR"/>
        </w:rPr>
        <w:t xml:space="preserve"> Notamment des « Directives pour les secrétariats, la cellule de coordination générale de la politique, les cellules de politique générale et les cellules stratégiques » émises par la Chancellerie du Premier ministre le 24 février 2017 » , qui contien</w:t>
      </w:r>
      <w:r>
        <w:rPr>
          <w:rFonts w:asciiTheme="minorHAnsi" w:hAnsiTheme="minorHAnsi" w:cstheme="minorHAnsi"/>
          <w:sz w:val="19"/>
          <w:szCs w:val="19"/>
          <w:lang w:val="fr-FR"/>
        </w:rPr>
        <w:t>nen</w:t>
      </w:r>
      <w:r w:rsidRPr="00406EBF">
        <w:rPr>
          <w:rFonts w:asciiTheme="minorHAnsi" w:hAnsiTheme="minorHAnsi" w:cstheme="minorHAnsi"/>
          <w:sz w:val="19"/>
          <w:szCs w:val="19"/>
          <w:lang w:val="fr-FR"/>
        </w:rPr>
        <w:t>t des consignes sur la taille de ces organes et les plafonds salariaux à respecter. Mais un ministre/secrétaire d’Etat peut</w:t>
      </w:r>
      <w:r>
        <w:rPr>
          <w:rFonts w:asciiTheme="minorHAnsi" w:hAnsiTheme="minorHAnsi" w:cstheme="minorHAnsi"/>
          <w:sz w:val="19"/>
          <w:szCs w:val="19"/>
          <w:lang w:val="fr-FR"/>
        </w:rPr>
        <w:t>, dans les limites des moyens budgétaires globaux octroyés pour l’ensemble de ces organes,</w:t>
      </w:r>
      <w:r w:rsidRPr="00406EBF">
        <w:rPr>
          <w:rFonts w:asciiTheme="minorHAnsi" w:hAnsiTheme="minorHAnsi" w:cstheme="minorHAnsi"/>
          <w:sz w:val="19"/>
          <w:szCs w:val="19"/>
          <w:lang w:val="fr-FR"/>
        </w:rPr>
        <w:t xml:space="preserve"> déroger à ces consignes avec l’accord du Premier ministre.</w:t>
      </w:r>
    </w:p>
  </w:footnote>
  <w:footnote w:id="13">
    <w:p w14:paraId="069B8379" w14:textId="77777777" w:rsidR="00CA03E6" w:rsidRPr="00406EBF" w:rsidRDefault="00CA03E6" w:rsidP="00536E19">
      <w:pPr>
        <w:pStyle w:val="Notedebasdepage"/>
        <w:jc w:val="both"/>
        <w:rPr>
          <w:rFonts w:asciiTheme="minorHAnsi" w:hAnsiTheme="minorHAnsi" w:cstheme="minorHAnsi"/>
          <w:sz w:val="19"/>
          <w:szCs w:val="19"/>
          <w:lang w:val="fr-BE"/>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BE"/>
        </w:rPr>
        <w:t xml:space="preserve"> </w:t>
      </w:r>
      <w:hyperlink r:id="rId10" w:history="1">
        <w:r w:rsidRPr="00406EBF">
          <w:rPr>
            <w:rStyle w:val="Lienhypertexte"/>
            <w:rFonts w:asciiTheme="minorHAnsi" w:hAnsiTheme="minorHAnsi" w:cstheme="minorHAnsi"/>
            <w:sz w:val="19"/>
            <w:szCs w:val="19"/>
            <w:lang w:val="fr-BE"/>
          </w:rPr>
          <w:t>https://fedweb.belgium.be/sites/default/files/1937-10-02%20KB_AR%202017-03-21_%20statuut_statut.pdf</w:t>
        </w:r>
      </w:hyperlink>
    </w:p>
  </w:footnote>
  <w:footnote w:id="14">
    <w:p w14:paraId="170F6218" w14:textId="77777777" w:rsidR="00CA03E6" w:rsidRPr="00406EBF" w:rsidRDefault="00CA03E6" w:rsidP="00536E19">
      <w:pPr>
        <w:pStyle w:val="Notedebasdepage"/>
        <w:jc w:val="both"/>
        <w:rPr>
          <w:rFonts w:asciiTheme="minorHAnsi" w:hAnsiTheme="minorHAnsi" w:cstheme="minorHAnsi"/>
          <w:sz w:val="19"/>
          <w:szCs w:val="19"/>
          <w:lang w:val="fr-BE"/>
        </w:rPr>
      </w:pPr>
      <w:r w:rsidRPr="00406EBF">
        <w:rPr>
          <w:rStyle w:val="Appelnotedebasdep"/>
          <w:rFonts w:asciiTheme="minorHAnsi" w:hAnsiTheme="minorHAnsi" w:cstheme="minorHAnsi"/>
          <w:sz w:val="19"/>
          <w:szCs w:val="19"/>
        </w:rPr>
        <w:footnoteRef/>
      </w:r>
      <w:hyperlink r:id="rId11" w:history="1">
        <w:r w:rsidRPr="00406EBF">
          <w:rPr>
            <w:rStyle w:val="Lienhypertexte"/>
            <w:rFonts w:asciiTheme="minorHAnsi" w:hAnsiTheme="minorHAnsi" w:cstheme="minorHAnsi"/>
            <w:sz w:val="19"/>
            <w:szCs w:val="19"/>
            <w:lang w:val="fr-BE"/>
          </w:rPr>
          <w:t>http://www.ejustice.just.fgov.be/cgi_loi/loi_a1.pl?language=fr&amp;la=F&amp;cn=2007081731&amp;table_name=loi&amp;&amp;caller=list&amp;F&amp;fromtab=loi&amp;tri=dd%20AS%20RANK&amp;rech=1&amp;numero=1&amp;sql=%28text%20contains%20%28%27%27%29%29</w:t>
        </w:r>
      </w:hyperlink>
    </w:p>
  </w:footnote>
  <w:footnote w:id="15">
    <w:p w14:paraId="443301D8" w14:textId="77777777" w:rsidR="00CA03E6" w:rsidRPr="00406EBF" w:rsidRDefault="00CA03E6" w:rsidP="00536E19">
      <w:pPr>
        <w:pStyle w:val="Notedebasdepage"/>
        <w:jc w:val="both"/>
        <w:rPr>
          <w:rFonts w:asciiTheme="minorHAnsi" w:hAnsiTheme="minorHAnsi" w:cstheme="minorHAnsi"/>
          <w:sz w:val="19"/>
          <w:szCs w:val="19"/>
          <w:lang w:val="fr-BE" w:eastAsia="fr-FR"/>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BE"/>
        </w:rPr>
        <w:t xml:space="preserve"> </w:t>
      </w:r>
      <w:hyperlink r:id="rId12" w:history="1">
        <w:r w:rsidRPr="00406EBF">
          <w:rPr>
            <w:rStyle w:val="Lienhypertexte"/>
            <w:rFonts w:asciiTheme="minorHAnsi" w:hAnsiTheme="minorHAnsi" w:cstheme="minorHAnsi"/>
            <w:sz w:val="19"/>
            <w:szCs w:val="19"/>
            <w:lang w:val="fr-BE" w:eastAsia="fr-FR"/>
          </w:rPr>
          <w:t>http://www.lachambre.be/kvvcr/pdf_sections/deonto/Loi_du_6_janvier_2014_portant_creation_CFD.pdf</w:t>
        </w:r>
      </w:hyperlink>
    </w:p>
  </w:footnote>
  <w:footnote w:id="16">
    <w:p w14:paraId="73DA8E1D" w14:textId="77777777" w:rsidR="00CA03E6" w:rsidRPr="00406EBF" w:rsidRDefault="00CA03E6" w:rsidP="00536E19">
      <w:pPr>
        <w:pStyle w:val="Notedebasdepage"/>
        <w:jc w:val="both"/>
        <w:rPr>
          <w:rStyle w:val="Lienhypertexte"/>
          <w:rFonts w:asciiTheme="minorHAnsi" w:hAnsiTheme="minorHAnsi" w:cstheme="minorHAnsi"/>
          <w:sz w:val="19"/>
          <w:szCs w:val="19"/>
          <w:lang w:val="fr-BE"/>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BE"/>
        </w:rPr>
        <w:t xml:space="preserve"> </w:t>
      </w:r>
      <w:hyperlink r:id="rId13" w:history="1">
        <w:r w:rsidRPr="00406EBF">
          <w:rPr>
            <w:rStyle w:val="Lienhypertexte"/>
            <w:rFonts w:asciiTheme="minorHAnsi" w:hAnsiTheme="minorHAnsi" w:cstheme="minorHAnsi"/>
            <w:sz w:val="19"/>
            <w:szCs w:val="19"/>
            <w:lang w:val="fr-BE"/>
          </w:rPr>
          <w:t>http://www.lachambre.be/kvvcr/pdf_sections/deonto/Code_de_deontologie_des_mandataires_publics.pdf</w:t>
        </w:r>
      </w:hyperlink>
    </w:p>
  </w:footnote>
  <w:footnote w:id="17">
    <w:p w14:paraId="4338658C" w14:textId="692E6A2E" w:rsidR="00CA03E6" w:rsidRPr="00C44BE8" w:rsidRDefault="00CA03E6">
      <w:pPr>
        <w:pStyle w:val="Notedebasdepage"/>
        <w:rPr>
          <w:lang w:val="fr-FR"/>
        </w:rPr>
      </w:pPr>
      <w:r w:rsidRPr="00C44BE8">
        <w:rPr>
          <w:rStyle w:val="Appelnotedebasdep"/>
          <w:rFonts w:asciiTheme="minorHAnsi" w:hAnsiTheme="minorHAnsi" w:cstheme="minorHAnsi"/>
          <w:sz w:val="19"/>
          <w:szCs w:val="19"/>
        </w:rPr>
        <w:footnoteRef/>
      </w:r>
      <w:r w:rsidRPr="008B5609">
        <w:rPr>
          <w:rStyle w:val="Appelnotedebasdep"/>
          <w:rFonts w:asciiTheme="minorHAnsi" w:hAnsiTheme="minorHAnsi" w:cstheme="minorHAnsi"/>
          <w:sz w:val="19"/>
          <w:szCs w:val="19"/>
          <w:lang w:val="fr-FR"/>
        </w:rPr>
        <w:t xml:space="preserve"> </w:t>
      </w:r>
      <w:r w:rsidRPr="008B5609">
        <w:rPr>
          <w:rFonts w:asciiTheme="minorHAnsi" w:hAnsiTheme="minorHAnsi" w:cstheme="minorHAnsi"/>
          <w:sz w:val="19"/>
          <w:szCs w:val="19"/>
          <w:lang w:val="fr-FR"/>
        </w:rPr>
        <w:t xml:space="preserve">Voir </w:t>
      </w:r>
      <w:r w:rsidRPr="004409F8">
        <w:rPr>
          <w:rFonts w:asciiTheme="minorHAnsi" w:hAnsiTheme="minorHAnsi" w:cstheme="minorHAnsi"/>
          <w:sz w:val="19"/>
          <w:szCs w:val="19"/>
          <w:lang w:val="fr-FR"/>
        </w:rPr>
        <w:t>paragraphes 76, 83, 88 et 127.</w:t>
      </w:r>
    </w:p>
  </w:footnote>
  <w:footnote w:id="18">
    <w:p w14:paraId="659C8A6B" w14:textId="77777777" w:rsidR="00CA03E6" w:rsidRPr="00406EBF" w:rsidRDefault="00CA03E6" w:rsidP="00602D1B">
      <w:pPr>
        <w:pStyle w:val="Notedebasdepage"/>
        <w:rPr>
          <w:sz w:val="19"/>
          <w:szCs w:val="19"/>
          <w:lang w:val="fr-BE"/>
        </w:rPr>
      </w:pPr>
      <w:r w:rsidRPr="00406EBF">
        <w:rPr>
          <w:rStyle w:val="Appelnotedebasdep"/>
          <w:sz w:val="19"/>
          <w:szCs w:val="19"/>
        </w:rPr>
        <w:footnoteRef/>
      </w:r>
      <w:r w:rsidRPr="00406EBF">
        <w:rPr>
          <w:sz w:val="19"/>
          <w:szCs w:val="19"/>
          <w:lang w:val="fr-BE"/>
        </w:rPr>
        <w:t xml:space="preserve"> </w:t>
      </w:r>
      <w:r w:rsidRPr="00406EBF">
        <w:rPr>
          <w:rStyle w:val="Lienhypertexte"/>
          <w:rFonts w:asciiTheme="minorHAnsi" w:hAnsiTheme="minorHAnsi"/>
          <w:sz w:val="19"/>
          <w:szCs w:val="19"/>
          <w:lang w:val="fr-BE" w:eastAsia="fr-FR"/>
        </w:rPr>
        <w:t>http://www.fed-deontologie.be/</w:t>
      </w:r>
    </w:p>
  </w:footnote>
  <w:footnote w:id="19">
    <w:p w14:paraId="41770D8D" w14:textId="77777777" w:rsidR="00CA03E6" w:rsidRPr="00406EBF" w:rsidRDefault="00CA03E6" w:rsidP="000F5703">
      <w:pPr>
        <w:pStyle w:val="Notedebasdepage"/>
        <w:jc w:val="both"/>
        <w:rPr>
          <w:sz w:val="19"/>
          <w:szCs w:val="19"/>
          <w:lang w:val="fr-FR"/>
        </w:rPr>
      </w:pPr>
      <w:r w:rsidRPr="00406EBF">
        <w:rPr>
          <w:rStyle w:val="Appelnotedebasdep"/>
          <w:sz w:val="19"/>
          <w:szCs w:val="19"/>
        </w:rPr>
        <w:footnoteRef/>
      </w:r>
      <w:r w:rsidRPr="00406EBF">
        <w:rPr>
          <w:sz w:val="19"/>
          <w:szCs w:val="19"/>
          <w:lang w:val="fr-FR"/>
        </w:rPr>
        <w:t xml:space="preserve"> </w:t>
      </w:r>
      <w:r w:rsidRPr="00406EBF">
        <w:rPr>
          <w:rFonts w:asciiTheme="minorHAnsi" w:hAnsiTheme="minorHAnsi" w:cstheme="minorHAnsi"/>
          <w:sz w:val="19"/>
          <w:szCs w:val="19"/>
          <w:lang w:val="fr-FR"/>
        </w:rPr>
        <w:t>Les avis de la Commission fédérale de déontologie sont publiés sur</w:t>
      </w:r>
      <w:r w:rsidRPr="00406EBF">
        <w:rPr>
          <w:sz w:val="19"/>
          <w:szCs w:val="19"/>
          <w:lang w:val="fr-FR"/>
        </w:rPr>
        <w:t xml:space="preserve"> </w:t>
      </w:r>
      <w:hyperlink r:id="rId14" w:history="1">
        <w:r w:rsidRPr="00406EBF">
          <w:rPr>
            <w:rStyle w:val="Lienhypertexte"/>
            <w:rFonts w:asciiTheme="minorHAnsi" w:hAnsiTheme="minorHAnsi"/>
            <w:sz w:val="19"/>
            <w:szCs w:val="19"/>
            <w:lang w:val="fr-BE" w:eastAsia="fr-FR"/>
          </w:rPr>
          <w:t>http://www.dekamer.be/kvvcr/showpage.cfm?section=/deonto&amp;language=fr&amp;story=publication.xml</w:t>
        </w:r>
      </w:hyperlink>
      <w:r w:rsidRPr="00406EBF">
        <w:rPr>
          <w:rStyle w:val="Lienhypertexte"/>
          <w:rFonts w:asciiTheme="minorHAnsi" w:hAnsiTheme="minorHAnsi"/>
          <w:sz w:val="19"/>
          <w:szCs w:val="19"/>
          <w:lang w:val="fr-BE" w:eastAsia="fr-FR"/>
        </w:rPr>
        <w:t xml:space="preserve">, </w:t>
      </w:r>
      <w:r w:rsidRPr="00406EBF">
        <w:rPr>
          <w:rFonts w:asciiTheme="minorHAnsi" w:hAnsiTheme="minorHAnsi" w:cstheme="minorHAnsi"/>
          <w:sz w:val="19"/>
          <w:szCs w:val="19"/>
          <w:lang w:val="fr-FR"/>
        </w:rPr>
        <w:t>sauf les avis individuels confidentiels dont les destinataires ont refusé la publication anonymisée.</w:t>
      </w:r>
      <w:r w:rsidRPr="00406EBF">
        <w:rPr>
          <w:rStyle w:val="Lienhypertexte"/>
          <w:sz w:val="19"/>
          <w:szCs w:val="19"/>
          <w:lang w:val="fr-BE"/>
        </w:rPr>
        <w:t xml:space="preserve"> </w:t>
      </w:r>
    </w:p>
  </w:footnote>
  <w:footnote w:id="20">
    <w:p w14:paraId="0F4FBC88" w14:textId="77777777" w:rsidR="00CA03E6" w:rsidRPr="00687701" w:rsidRDefault="00CA03E6" w:rsidP="00687701">
      <w:pPr>
        <w:pStyle w:val="Notedebasdepage"/>
        <w:jc w:val="both"/>
        <w:rPr>
          <w:rStyle w:val="Lienhypertexte"/>
          <w:lang w:val="fr-BE" w:eastAsia="fr-FR"/>
        </w:rPr>
      </w:pPr>
      <w:r w:rsidRPr="00406F32">
        <w:rPr>
          <w:rStyle w:val="Appelnotedebasdep"/>
          <w:sz w:val="19"/>
          <w:szCs w:val="19"/>
        </w:rPr>
        <w:footnoteRef/>
      </w:r>
      <w:r w:rsidRPr="00687701">
        <w:rPr>
          <w:rStyle w:val="Appelnotedebasdep"/>
          <w:sz w:val="19"/>
          <w:szCs w:val="19"/>
          <w:lang w:val="fr-FR"/>
        </w:rPr>
        <w:t xml:space="preserve"> </w:t>
      </w:r>
      <w:r w:rsidRPr="00687701">
        <w:rPr>
          <w:rFonts w:asciiTheme="minorHAnsi" w:hAnsiTheme="minorHAnsi" w:cstheme="minorHAnsi"/>
          <w:sz w:val="19"/>
          <w:szCs w:val="19"/>
          <w:lang w:val="fr-FR"/>
        </w:rPr>
        <w:t xml:space="preserve">Voir page 3 du rapport annuel 2018-2019 de la Commission fédérale de déontologie : </w:t>
      </w:r>
      <w:hyperlink r:id="rId15" w:history="1">
        <w:r w:rsidRPr="00687701">
          <w:rPr>
            <w:rStyle w:val="Lienhypertexte"/>
            <w:rFonts w:asciiTheme="minorHAnsi" w:hAnsiTheme="minorHAnsi"/>
            <w:sz w:val="19"/>
            <w:szCs w:val="19"/>
            <w:lang w:val="fr-BE" w:eastAsia="fr-FR"/>
          </w:rPr>
          <w:t>https://www.dekamer.be/kvvcr/pdf_sections/deonto/Rapport_annuel_CFD_2018_2019.pdf</w:t>
        </w:r>
      </w:hyperlink>
    </w:p>
  </w:footnote>
  <w:footnote w:id="21">
    <w:p w14:paraId="01006CE0" w14:textId="77777777" w:rsidR="00CA03E6" w:rsidRPr="00406EBF" w:rsidRDefault="00CA03E6">
      <w:pPr>
        <w:pStyle w:val="Notedebasdepage"/>
        <w:rPr>
          <w:rFonts w:asciiTheme="minorHAnsi" w:hAnsiTheme="minorHAnsi" w:cstheme="minorHAnsi"/>
          <w:sz w:val="19"/>
          <w:szCs w:val="19"/>
          <w:lang w:val="fr-FR"/>
        </w:rPr>
      </w:pPr>
      <w:r w:rsidRPr="00406EBF">
        <w:rPr>
          <w:rStyle w:val="Appelnotedebasdep"/>
          <w:sz w:val="19"/>
          <w:szCs w:val="19"/>
        </w:rPr>
        <w:footnoteRef/>
      </w:r>
      <w:r w:rsidRPr="00406EBF">
        <w:rPr>
          <w:sz w:val="19"/>
          <w:szCs w:val="19"/>
          <w:lang w:val="fr-BE"/>
        </w:rPr>
        <w:t xml:space="preserve"> </w:t>
      </w:r>
      <w:r w:rsidRPr="00406EBF">
        <w:rPr>
          <w:rFonts w:asciiTheme="minorHAnsi" w:hAnsiTheme="minorHAnsi" w:cstheme="minorHAnsi"/>
          <w:sz w:val="19"/>
          <w:szCs w:val="19"/>
          <w:lang w:val="fr-FR"/>
        </w:rPr>
        <w:t>Voy. Commission (fédérale) d'accès aux documents administratifs :</w:t>
      </w:r>
      <w:r w:rsidRPr="00406EBF">
        <w:rPr>
          <w:color w:val="1F497D" w:themeColor="text2"/>
          <w:sz w:val="19"/>
          <w:szCs w:val="19"/>
          <w:lang w:val="fr-FR"/>
        </w:rPr>
        <w:t xml:space="preserve"> </w:t>
      </w:r>
      <w:hyperlink r:id="rId16" w:history="1">
        <w:r w:rsidRPr="00C44BE8">
          <w:rPr>
            <w:rStyle w:val="Lienhypertexte"/>
            <w:sz w:val="19"/>
            <w:szCs w:val="19"/>
            <w:lang w:val="fr-FR"/>
          </w:rPr>
          <w:t>https://www.ibz.rrn.fgov.be/fr/commissions/publicite-de-ladministration/introduction/</w:t>
        </w:r>
      </w:hyperlink>
      <w:r>
        <w:rPr>
          <w:color w:val="1F497D" w:themeColor="text2"/>
          <w:sz w:val="19"/>
          <w:szCs w:val="19"/>
          <w:lang w:val="fr-FR"/>
        </w:rPr>
        <w:t xml:space="preserve"> </w:t>
      </w:r>
      <w:r w:rsidRPr="00C616A3">
        <w:rPr>
          <w:rFonts w:asciiTheme="minorHAnsi" w:hAnsiTheme="minorHAnsi" w:cstheme="minorHAnsi"/>
          <w:sz w:val="19"/>
          <w:szCs w:val="19"/>
          <w:lang w:val="fr-FR"/>
        </w:rPr>
        <w:t>ai</w:t>
      </w:r>
      <w:r w:rsidRPr="00406EBF">
        <w:rPr>
          <w:rFonts w:asciiTheme="minorHAnsi" w:hAnsiTheme="minorHAnsi" w:cstheme="minorHAnsi"/>
          <w:sz w:val="19"/>
          <w:szCs w:val="19"/>
          <w:lang w:val="fr-FR"/>
        </w:rPr>
        <w:t>nsi que M.B. du 30/06/1994 (Numac 1994000357).</w:t>
      </w:r>
    </w:p>
  </w:footnote>
  <w:footnote w:id="22">
    <w:p w14:paraId="085D7B16" w14:textId="77777777" w:rsidR="00CA03E6" w:rsidRPr="00406EBF" w:rsidRDefault="00CA03E6">
      <w:pPr>
        <w:pStyle w:val="Notedebasdepage"/>
        <w:rPr>
          <w:sz w:val="19"/>
          <w:szCs w:val="19"/>
          <w:lang w:val="fr-BE"/>
        </w:rPr>
      </w:pPr>
      <w:r w:rsidRPr="00406EBF">
        <w:rPr>
          <w:rStyle w:val="Appelnotedebasdep"/>
          <w:sz w:val="19"/>
          <w:szCs w:val="19"/>
        </w:rPr>
        <w:footnoteRef/>
      </w:r>
      <w:r w:rsidRPr="00406EBF">
        <w:rPr>
          <w:sz w:val="19"/>
          <w:szCs w:val="19"/>
          <w:lang w:val="fr-BE"/>
        </w:rPr>
        <w:t xml:space="preserve"> </w:t>
      </w:r>
      <w:hyperlink r:id="rId17" w:history="1">
        <w:r w:rsidRPr="00406EBF">
          <w:rPr>
            <w:rStyle w:val="Lienhypertexte"/>
            <w:rFonts w:asciiTheme="minorHAnsi" w:hAnsiTheme="minorHAnsi"/>
            <w:sz w:val="19"/>
            <w:szCs w:val="19"/>
            <w:lang w:val="fr-BE" w:eastAsia="fr-FR"/>
          </w:rPr>
          <w:t>https://www.belgium.be/fr/la_belgique/pouvoirs_publics/autorites_federales/gouvernement_federal</w:t>
        </w:r>
      </w:hyperlink>
    </w:p>
  </w:footnote>
  <w:footnote w:id="23">
    <w:p w14:paraId="0547A6D5" w14:textId="77777777" w:rsidR="00CA03E6" w:rsidRPr="00406EBF" w:rsidRDefault="00CA03E6" w:rsidP="00617338">
      <w:pPr>
        <w:pStyle w:val="Notedebasdepage"/>
        <w:rPr>
          <w:rStyle w:val="Lienhypertexte"/>
          <w:rFonts w:asciiTheme="minorHAnsi" w:hAnsiTheme="minorHAnsi"/>
          <w:sz w:val="19"/>
          <w:szCs w:val="19"/>
          <w:lang w:val="fr-BE" w:eastAsia="fr-FR"/>
        </w:rPr>
      </w:pPr>
      <w:r w:rsidRPr="00406EBF">
        <w:rPr>
          <w:rStyle w:val="Appelnotedebasdep"/>
          <w:sz w:val="19"/>
          <w:szCs w:val="19"/>
        </w:rPr>
        <w:footnoteRef/>
      </w:r>
      <w:r w:rsidRPr="00406EBF">
        <w:rPr>
          <w:sz w:val="19"/>
          <w:szCs w:val="19"/>
          <w:lang w:val="fr-BE"/>
        </w:rPr>
        <w:t xml:space="preserve"> </w:t>
      </w:r>
      <w:r w:rsidRPr="00406EBF">
        <w:rPr>
          <w:rStyle w:val="Lienhypertexte"/>
          <w:rFonts w:asciiTheme="minorHAnsi" w:hAnsiTheme="minorHAnsi"/>
          <w:sz w:val="19"/>
          <w:szCs w:val="19"/>
          <w:lang w:val="fr-BE" w:eastAsia="fr-FR"/>
        </w:rPr>
        <w:t>http://www.premier.be/fr/conseil-des-ministres</w:t>
      </w:r>
    </w:p>
  </w:footnote>
  <w:footnote w:id="24">
    <w:p w14:paraId="28D7DBF6" w14:textId="77777777" w:rsidR="00CA03E6" w:rsidRPr="00406EBF" w:rsidRDefault="00CA03E6">
      <w:pPr>
        <w:pStyle w:val="Notedebasdepage"/>
        <w:rPr>
          <w:sz w:val="19"/>
          <w:szCs w:val="19"/>
          <w:lang w:val="fr-BE"/>
        </w:rPr>
      </w:pPr>
      <w:r w:rsidRPr="00406EBF">
        <w:rPr>
          <w:rStyle w:val="Appelnotedebasdep"/>
          <w:sz w:val="19"/>
          <w:szCs w:val="19"/>
        </w:rPr>
        <w:footnoteRef/>
      </w:r>
      <w:r w:rsidRPr="00406EBF">
        <w:rPr>
          <w:sz w:val="19"/>
          <w:szCs w:val="19"/>
          <w:lang w:val="fr-BE"/>
        </w:rPr>
        <w:t xml:space="preserve"> </w:t>
      </w:r>
      <w:hyperlink r:id="rId18" w:history="1">
        <w:r w:rsidRPr="00951418">
          <w:rPr>
            <w:rStyle w:val="Lienhypertexte"/>
            <w:rFonts w:asciiTheme="minorHAnsi" w:hAnsiTheme="minorHAnsi"/>
            <w:sz w:val="19"/>
            <w:szCs w:val="19"/>
            <w:lang w:val="fr-BE" w:eastAsia="fr-FR"/>
          </w:rPr>
          <w:t>http://www.lachambre.be/kvvcr/pdf_sections/deonto/CFD_avis_2017_2.pdf</w:t>
        </w:r>
      </w:hyperlink>
      <w:r w:rsidRPr="00406EBF">
        <w:rPr>
          <w:sz w:val="19"/>
          <w:szCs w:val="19"/>
          <w:lang w:val="fr-BE"/>
        </w:rPr>
        <w:t xml:space="preserve"> </w:t>
      </w:r>
    </w:p>
  </w:footnote>
  <w:footnote w:id="25">
    <w:p w14:paraId="2C99ED7B" w14:textId="1C95BA64" w:rsidR="00CA03E6" w:rsidRPr="00406EBF" w:rsidRDefault="00CA03E6" w:rsidP="00951418">
      <w:pPr>
        <w:pStyle w:val="Notedebasdepage"/>
        <w:rPr>
          <w:rStyle w:val="Lienhypertexte"/>
          <w:rFonts w:asciiTheme="minorHAnsi" w:hAnsiTheme="minorHAnsi"/>
          <w:sz w:val="19"/>
          <w:szCs w:val="19"/>
          <w:lang w:val="fr-BE"/>
        </w:rPr>
      </w:pPr>
      <w:r w:rsidRPr="00406EBF">
        <w:rPr>
          <w:rStyle w:val="Appelnotedebasdep"/>
          <w:sz w:val="19"/>
          <w:szCs w:val="19"/>
        </w:rPr>
        <w:footnoteRef/>
      </w:r>
      <w:r w:rsidRPr="00406EBF">
        <w:rPr>
          <w:sz w:val="19"/>
          <w:szCs w:val="19"/>
          <w:lang w:val="fr-BE"/>
        </w:rPr>
        <w:t xml:space="preserve"> </w:t>
      </w:r>
      <w:r w:rsidRPr="00951418">
        <w:rPr>
          <w:rStyle w:val="Lienhypertexte"/>
          <w:rFonts w:asciiTheme="minorHAnsi" w:hAnsiTheme="minorHAnsi"/>
          <w:sz w:val="19"/>
          <w:szCs w:val="19"/>
          <w:lang w:val="fr-BE" w:eastAsia="fr-FR"/>
        </w:rPr>
        <w:t>http://www.ejustice.just.fgov.be/cgi_loi/change_lg.pl?language=fr&amp;la=F&amp;cn=2007081760&amp;table_name=loi</w:t>
      </w:r>
    </w:p>
  </w:footnote>
  <w:footnote w:id="26">
    <w:p w14:paraId="28384E31" w14:textId="77777777" w:rsidR="00CA03E6" w:rsidRPr="00951418" w:rsidRDefault="00CA03E6" w:rsidP="00951418">
      <w:pPr>
        <w:pStyle w:val="Notedebasdepage"/>
        <w:jc w:val="both"/>
        <w:rPr>
          <w:rFonts w:asciiTheme="minorHAnsi" w:hAnsiTheme="minorHAnsi" w:cstheme="minorHAnsi"/>
          <w:sz w:val="19"/>
          <w:szCs w:val="19"/>
          <w:lang w:val="fr-FR"/>
        </w:rPr>
      </w:pPr>
      <w:r w:rsidRPr="00951418">
        <w:rPr>
          <w:rStyle w:val="Appelnotedebasdep"/>
          <w:sz w:val="19"/>
          <w:szCs w:val="19"/>
        </w:rPr>
        <w:footnoteRef/>
      </w:r>
      <w:r w:rsidRPr="00951418">
        <w:rPr>
          <w:lang w:val="fr-FR"/>
        </w:rPr>
        <w:t xml:space="preserve"> </w:t>
      </w:r>
      <w:r w:rsidRPr="00951418">
        <w:rPr>
          <w:rFonts w:asciiTheme="minorHAnsi" w:hAnsiTheme="minorHAnsi" w:cstheme="minorHAnsi"/>
          <w:sz w:val="19"/>
          <w:szCs w:val="19"/>
          <w:lang w:val="fr-FR"/>
        </w:rPr>
        <w:t>Pour les marchés publics, 250.000 euros pour les procédures ouvertes, 125.000 euros pour les procédures restreintes et 31.000 euros pour les procédures négociées sans publicité préalable. Quant aux subsides, subventions et dotations, tous sont soumis à l’IF sauf les subsides entièrement réglementés, les subsides facultatifs inférieurs à 25.000 euros mentionnés nommément dans le budget et les subsides facultatifs inférieurs à 3100 euros.</w:t>
      </w:r>
    </w:p>
  </w:footnote>
  <w:footnote w:id="27">
    <w:p w14:paraId="131C84B8" w14:textId="77777777" w:rsidR="00CA03E6" w:rsidRPr="00406EBF" w:rsidRDefault="00CA03E6">
      <w:pPr>
        <w:pStyle w:val="Notedebasdepage"/>
        <w:rPr>
          <w:sz w:val="19"/>
          <w:szCs w:val="19"/>
          <w:lang w:val="fr-BE"/>
        </w:rPr>
      </w:pPr>
      <w:r w:rsidRPr="00406EBF">
        <w:rPr>
          <w:rStyle w:val="Appelnotedebasdep"/>
          <w:sz w:val="19"/>
          <w:szCs w:val="19"/>
        </w:rPr>
        <w:footnoteRef/>
      </w:r>
      <w:r w:rsidRPr="00406EBF">
        <w:rPr>
          <w:sz w:val="19"/>
          <w:szCs w:val="19"/>
          <w:lang w:val="fr-BE"/>
        </w:rPr>
        <w:t xml:space="preserve"> </w:t>
      </w:r>
      <w:hyperlink r:id="rId19" w:history="1">
        <w:r w:rsidRPr="00406EBF">
          <w:rPr>
            <w:rStyle w:val="Lienhypertexte"/>
            <w:rFonts w:asciiTheme="minorHAnsi" w:hAnsiTheme="minorHAnsi" w:cstheme="minorHAnsi"/>
            <w:sz w:val="19"/>
            <w:szCs w:val="19"/>
            <w:lang w:val="fr-BE"/>
          </w:rPr>
          <w:t>www.ccrek.be</w:t>
        </w:r>
      </w:hyperlink>
    </w:p>
    <w:p w14:paraId="481C554B" w14:textId="77777777" w:rsidR="00CA03E6" w:rsidRPr="00406EBF" w:rsidRDefault="00CA03E6">
      <w:pPr>
        <w:pStyle w:val="Notedebasdepage"/>
        <w:rPr>
          <w:sz w:val="19"/>
          <w:szCs w:val="19"/>
          <w:lang w:val="fr-BE"/>
        </w:rPr>
      </w:pPr>
    </w:p>
  </w:footnote>
  <w:footnote w:id="28">
    <w:p w14:paraId="0200FEE8" w14:textId="77777777" w:rsidR="00CA03E6" w:rsidRPr="00406EBF" w:rsidRDefault="00CA03E6" w:rsidP="005926B3">
      <w:pPr>
        <w:pStyle w:val="Notedebasdepage"/>
        <w:jc w:val="both"/>
        <w:rPr>
          <w:sz w:val="19"/>
          <w:szCs w:val="19"/>
          <w:lang w:val="fr-BE"/>
        </w:rPr>
      </w:pPr>
      <w:r w:rsidRPr="00406EBF">
        <w:rPr>
          <w:rStyle w:val="Appelnotedebasdep"/>
          <w:sz w:val="19"/>
          <w:szCs w:val="19"/>
        </w:rPr>
        <w:footnoteRef/>
      </w:r>
      <w:r w:rsidRPr="00406EBF">
        <w:rPr>
          <w:sz w:val="19"/>
          <w:szCs w:val="19"/>
          <w:lang w:val="fr-BE"/>
        </w:rPr>
        <w:t xml:space="preserve"> </w:t>
      </w:r>
      <w:r w:rsidRPr="00406EBF">
        <w:rPr>
          <w:rFonts w:asciiTheme="minorHAnsi" w:hAnsiTheme="minorHAnsi" w:cstheme="minorHAnsi"/>
          <w:sz w:val="19"/>
          <w:szCs w:val="19"/>
          <w:lang w:val="fr-BE"/>
        </w:rPr>
        <w:t>Voir notamment</w:t>
      </w:r>
      <w:r w:rsidRPr="00406EBF">
        <w:rPr>
          <w:sz w:val="19"/>
          <w:szCs w:val="19"/>
          <w:lang w:val="fr-BE"/>
        </w:rPr>
        <w:t xml:space="preserve"> </w:t>
      </w:r>
      <w:hyperlink r:id="rId20" w:history="1">
        <w:r w:rsidRPr="00406EBF">
          <w:rPr>
            <w:rStyle w:val="Lienhypertexte"/>
            <w:rFonts w:asciiTheme="minorHAnsi" w:hAnsiTheme="minorHAnsi" w:cstheme="minorHAnsi"/>
            <w:sz w:val="19"/>
            <w:szCs w:val="19"/>
            <w:lang w:val="fr-BE"/>
          </w:rPr>
          <w:t>https://archive.ptb.be/articles/la-cheffe-de-cabinet-de-reynders-impliquee-dans-les-paradis-fiscaux</w:t>
        </w:r>
      </w:hyperlink>
      <w:r w:rsidRPr="00406EBF">
        <w:rPr>
          <w:sz w:val="19"/>
          <w:szCs w:val="19"/>
          <w:lang w:val="fr-BE"/>
        </w:rPr>
        <w:t xml:space="preserve"> </w:t>
      </w:r>
      <w:r w:rsidRPr="00406EBF">
        <w:rPr>
          <w:rFonts w:asciiTheme="minorHAnsi" w:hAnsiTheme="minorHAnsi" w:cstheme="minorHAnsi"/>
          <w:sz w:val="19"/>
          <w:szCs w:val="19"/>
          <w:lang w:val="fr-BE"/>
        </w:rPr>
        <w:t>et</w:t>
      </w:r>
      <w:r w:rsidRPr="00406EBF">
        <w:rPr>
          <w:sz w:val="19"/>
          <w:szCs w:val="19"/>
          <w:lang w:val="fr-BE"/>
        </w:rPr>
        <w:t xml:space="preserve"> </w:t>
      </w:r>
      <w:hyperlink r:id="rId21" w:history="1">
        <w:r w:rsidRPr="00406EBF">
          <w:rPr>
            <w:rStyle w:val="Lienhypertexte"/>
            <w:rFonts w:asciiTheme="minorHAnsi" w:hAnsiTheme="minorHAnsi" w:cstheme="minorHAnsi"/>
            <w:sz w:val="19"/>
            <w:szCs w:val="19"/>
            <w:lang w:val="fr-BE"/>
          </w:rPr>
          <w:t>https://plus.lesoir.be/36714/article/2016-04-21/une-double-casquette-genante-au-cabinet-marghem</w:t>
        </w:r>
      </w:hyperlink>
    </w:p>
  </w:footnote>
  <w:footnote w:id="29">
    <w:p w14:paraId="5045DD8F" w14:textId="77777777" w:rsidR="00CA03E6" w:rsidRPr="00F43E55" w:rsidRDefault="00CA03E6">
      <w:pPr>
        <w:pStyle w:val="Notedebasdepage"/>
        <w:rPr>
          <w:lang w:val="fr-FR"/>
        </w:rPr>
      </w:pPr>
      <w:r w:rsidRPr="00F43E55">
        <w:rPr>
          <w:rStyle w:val="Appelnotedebasdep"/>
          <w:sz w:val="19"/>
          <w:szCs w:val="19"/>
        </w:rPr>
        <w:footnoteRef/>
      </w:r>
      <w:r w:rsidRPr="00F43E55">
        <w:rPr>
          <w:rStyle w:val="Appelnotedebasdep"/>
          <w:sz w:val="19"/>
          <w:szCs w:val="19"/>
          <w:lang w:val="fr-FR"/>
        </w:rPr>
        <w:t xml:space="preserve"> </w:t>
      </w:r>
      <w:r w:rsidRPr="00F43E55">
        <w:rPr>
          <w:rFonts w:asciiTheme="minorHAnsi" w:hAnsiTheme="minorHAnsi" w:cstheme="minorHAnsi"/>
          <w:sz w:val="19"/>
          <w:szCs w:val="19"/>
          <w:lang w:val="fr-FR"/>
        </w:rPr>
        <w:t>Il existe seulement une interdiction pour un ministre d’assurer la surveillance ou l’administration d’une société qui a été déclarée concessionnaire de l’Etat lorsqu’il était ministre (art. 4 de la loi du 6 août 1931 précitée).</w:t>
      </w:r>
    </w:p>
  </w:footnote>
  <w:footnote w:id="30">
    <w:p w14:paraId="0C76F830" w14:textId="68FD2D2C" w:rsidR="00CA03E6" w:rsidRPr="00E0340D" w:rsidRDefault="00CA03E6" w:rsidP="009355AC">
      <w:pPr>
        <w:pStyle w:val="Notedebasdepage"/>
        <w:jc w:val="both"/>
        <w:rPr>
          <w:sz w:val="19"/>
          <w:szCs w:val="19"/>
          <w:lang w:val="fr-FR"/>
        </w:rPr>
      </w:pPr>
      <w:r w:rsidRPr="00406EBF">
        <w:rPr>
          <w:rStyle w:val="Appelnotedebasdep"/>
          <w:sz w:val="19"/>
          <w:szCs w:val="19"/>
        </w:rPr>
        <w:footnoteRef/>
      </w:r>
      <w:r w:rsidRPr="00E0340D">
        <w:rPr>
          <w:sz w:val="19"/>
          <w:szCs w:val="19"/>
          <w:lang w:val="fr-FR"/>
        </w:rPr>
        <w:t xml:space="preserve"> </w:t>
      </w:r>
      <w:hyperlink r:id="rId22" w:history="1">
        <w:r w:rsidRPr="00E0340D">
          <w:rPr>
            <w:rStyle w:val="Lienhypertexte"/>
            <w:rFonts w:asciiTheme="minorHAnsi" w:hAnsiTheme="minorHAnsi" w:cstheme="minorHAnsi"/>
            <w:sz w:val="19"/>
            <w:szCs w:val="19"/>
            <w:lang w:val="fr-FR"/>
          </w:rPr>
          <w:t>https://www.levif.be/actualite/belgique/une-proposition-de-loi-pour-contrer-le-conflit-d-interets/article-normal-819365.html</w:t>
        </w:r>
      </w:hyperlink>
    </w:p>
  </w:footnote>
  <w:footnote w:id="31">
    <w:p w14:paraId="4B1BEEE7" w14:textId="77777777" w:rsidR="00CA03E6" w:rsidRPr="00406EBF" w:rsidRDefault="00CA03E6" w:rsidP="00FC32DD">
      <w:pPr>
        <w:pStyle w:val="Notedebasdepage"/>
        <w:jc w:val="both"/>
        <w:rPr>
          <w:rFonts w:asciiTheme="minorHAnsi" w:hAnsiTheme="minorHAnsi"/>
          <w:sz w:val="19"/>
          <w:szCs w:val="19"/>
          <w:lang w:val="fr-FR"/>
        </w:rPr>
      </w:pPr>
      <w:r w:rsidRPr="00406EBF">
        <w:rPr>
          <w:rStyle w:val="Appelnotedebasdep"/>
          <w:rFonts w:asciiTheme="minorHAnsi" w:hAnsiTheme="minorHAnsi"/>
          <w:sz w:val="19"/>
          <w:szCs w:val="19"/>
        </w:rPr>
        <w:footnoteRef/>
      </w:r>
      <w:r w:rsidRPr="00406EBF">
        <w:rPr>
          <w:rFonts w:asciiTheme="minorHAnsi" w:hAnsiTheme="minorHAnsi"/>
          <w:sz w:val="19"/>
          <w:szCs w:val="19"/>
          <w:lang w:val="fr-FR"/>
        </w:rPr>
        <w:t xml:space="preserve"> </w:t>
      </w:r>
      <w:hyperlink r:id="rId23" w:history="1">
        <w:r w:rsidRPr="00406EBF">
          <w:rPr>
            <w:rStyle w:val="Lienhypertexte"/>
            <w:rFonts w:asciiTheme="minorHAnsi" w:hAnsiTheme="minorHAnsi"/>
            <w:sz w:val="19"/>
            <w:szCs w:val="19"/>
            <w:lang w:val="fr-FR"/>
          </w:rPr>
          <w:t>https://rm.coe.int/dix-septieme-rapport-general-d-activites-2016-du-groupe-d-etats-contre/168071c887</w:t>
        </w:r>
      </w:hyperlink>
    </w:p>
  </w:footnote>
  <w:footnote w:id="32">
    <w:p w14:paraId="09A8E6DE" w14:textId="77777777" w:rsidR="00CA03E6" w:rsidRPr="00406EBF" w:rsidRDefault="00CA03E6" w:rsidP="00014507">
      <w:pPr>
        <w:pStyle w:val="Notedebasdepage"/>
        <w:rPr>
          <w:rStyle w:val="Lienhypertexte"/>
          <w:rFonts w:asciiTheme="minorHAnsi" w:hAnsiTheme="minorHAnsi" w:cstheme="minorHAnsi"/>
          <w:sz w:val="19"/>
          <w:szCs w:val="19"/>
          <w:lang w:val="fr-FR"/>
        </w:rPr>
      </w:pPr>
      <w:r w:rsidRPr="00406EBF">
        <w:rPr>
          <w:rStyle w:val="Appelnotedebasdep"/>
          <w:sz w:val="19"/>
          <w:szCs w:val="19"/>
        </w:rPr>
        <w:footnoteRef/>
      </w:r>
      <w:r w:rsidRPr="00406EBF">
        <w:rPr>
          <w:sz w:val="19"/>
          <w:szCs w:val="19"/>
          <w:lang w:val="fr-BE"/>
        </w:rPr>
        <w:t xml:space="preserve"> </w:t>
      </w:r>
      <w:r w:rsidRPr="00406EBF">
        <w:rPr>
          <w:rStyle w:val="Lienhypertexte"/>
          <w:rFonts w:asciiTheme="minorHAnsi" w:hAnsiTheme="minorHAnsi" w:cstheme="minorHAnsi"/>
          <w:sz w:val="19"/>
          <w:szCs w:val="19"/>
          <w:lang w:val="fr-FR"/>
        </w:rPr>
        <w:t>https://www.ccrek.be/FR/MandatsPatrimoine.html</w:t>
      </w:r>
    </w:p>
  </w:footnote>
  <w:footnote w:id="33">
    <w:p w14:paraId="2FAD890C" w14:textId="77777777" w:rsidR="00CA03E6" w:rsidRPr="00D37E76" w:rsidRDefault="00CA03E6">
      <w:pPr>
        <w:pStyle w:val="Notedebasdepage"/>
        <w:rPr>
          <w:rStyle w:val="Lienhypertexte"/>
          <w:rFonts w:asciiTheme="minorHAnsi" w:hAnsiTheme="minorHAnsi" w:cstheme="minorHAnsi"/>
          <w:sz w:val="19"/>
          <w:szCs w:val="19"/>
          <w:lang w:val="fr-FR"/>
        </w:rPr>
      </w:pPr>
      <w:r w:rsidRPr="00406EBF">
        <w:rPr>
          <w:rStyle w:val="Appelnotedebasdep"/>
          <w:sz w:val="19"/>
          <w:szCs w:val="19"/>
        </w:rPr>
        <w:footnoteRef/>
      </w:r>
      <w:r w:rsidRPr="00406EBF">
        <w:rPr>
          <w:sz w:val="19"/>
          <w:szCs w:val="19"/>
          <w:lang w:val="fr-FR"/>
        </w:rPr>
        <w:t xml:space="preserve"> </w:t>
      </w:r>
      <w:hyperlink r:id="rId24" w:anchor="vademecum" w:history="1">
        <w:r w:rsidRPr="00406EBF">
          <w:rPr>
            <w:rStyle w:val="Lienhypertexte"/>
            <w:rFonts w:asciiTheme="minorHAnsi" w:hAnsiTheme="minorHAnsi" w:cstheme="minorHAnsi"/>
            <w:sz w:val="19"/>
            <w:szCs w:val="19"/>
            <w:lang w:val="fr-FR"/>
          </w:rPr>
          <w:t>https://www.ccrek.be/FR/Mandats/Depot.html#vademecum</w:t>
        </w:r>
      </w:hyperlink>
      <w:r w:rsidRPr="00D37E76">
        <w:rPr>
          <w:rStyle w:val="Lienhypertexte"/>
          <w:rFonts w:asciiTheme="minorHAnsi" w:hAnsiTheme="minorHAnsi" w:cstheme="minorHAnsi"/>
          <w:sz w:val="19"/>
          <w:szCs w:val="19"/>
          <w:lang w:val="fr-FR"/>
        </w:rPr>
        <w:t xml:space="preserve"> </w:t>
      </w:r>
    </w:p>
  </w:footnote>
  <w:footnote w:id="34">
    <w:p w14:paraId="2F6F6641" w14:textId="77777777" w:rsidR="00CA03E6" w:rsidRPr="00406EBF" w:rsidRDefault="00CA03E6" w:rsidP="00AF267A">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hyperlink r:id="rId25" w:history="1">
        <w:r w:rsidRPr="00406EBF">
          <w:rPr>
            <w:rStyle w:val="Lienhypertexte"/>
            <w:rFonts w:asciiTheme="minorHAnsi" w:hAnsiTheme="minorHAnsi" w:cstheme="minorHAnsi"/>
            <w:sz w:val="19"/>
            <w:szCs w:val="19"/>
            <w:lang w:val="fr-FR"/>
          </w:rPr>
          <w:t>http://www.ejustice.just.fgov.be/mopdf/2018/08/14_1.pdf</w:t>
        </w:r>
      </w:hyperlink>
      <w:r w:rsidRPr="00D37E76">
        <w:rPr>
          <w:rStyle w:val="Lienhypertexte"/>
          <w:rFonts w:asciiTheme="minorHAnsi" w:hAnsiTheme="minorHAnsi" w:cstheme="minorHAnsi"/>
          <w:sz w:val="19"/>
          <w:szCs w:val="19"/>
          <w:lang w:val="fr-FR"/>
        </w:rPr>
        <w:t xml:space="preserve"> </w:t>
      </w:r>
    </w:p>
  </w:footnote>
  <w:footnote w:id="35">
    <w:p w14:paraId="5FB29DBC" w14:textId="77777777" w:rsidR="00CA03E6" w:rsidRPr="00406EBF" w:rsidRDefault="00CA03E6">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hyperlink r:id="rId26" w:history="1">
        <w:r w:rsidRPr="00406EBF">
          <w:rPr>
            <w:rStyle w:val="Lienhypertexte"/>
            <w:rFonts w:asciiTheme="minorHAnsi" w:hAnsiTheme="minorHAnsi" w:cstheme="minorHAnsi"/>
            <w:sz w:val="19"/>
            <w:szCs w:val="19"/>
            <w:lang w:val="fr-FR"/>
          </w:rPr>
          <w:t>www.cumuleo.be</w:t>
        </w:r>
      </w:hyperlink>
    </w:p>
  </w:footnote>
  <w:footnote w:id="36">
    <w:p w14:paraId="625A1222" w14:textId="77777777" w:rsidR="00CA03E6" w:rsidRPr="00D37E76" w:rsidRDefault="00CA03E6" w:rsidP="005926B3">
      <w:pPr>
        <w:pStyle w:val="Notedebasdepage"/>
        <w:jc w:val="both"/>
        <w:rPr>
          <w:rStyle w:val="Lienhypertexte"/>
          <w:rFonts w:asciiTheme="minorHAnsi" w:hAnsiTheme="minorHAnsi" w:cstheme="minorHAnsi"/>
          <w:sz w:val="19"/>
          <w:szCs w:val="19"/>
          <w:lang w:val="fr-FR"/>
        </w:rPr>
      </w:pPr>
      <w:r w:rsidRPr="00406EBF">
        <w:rPr>
          <w:rStyle w:val="Appelnotedebasdep"/>
          <w:sz w:val="19"/>
          <w:szCs w:val="19"/>
        </w:rPr>
        <w:footnoteRef/>
      </w:r>
      <w:hyperlink r:id="rId27" w:history="1">
        <w:r w:rsidRPr="00406EBF">
          <w:rPr>
            <w:rStyle w:val="Lienhypertexte"/>
            <w:rFonts w:asciiTheme="minorHAnsi" w:hAnsiTheme="minorHAnsi" w:cstheme="minorHAnsi"/>
            <w:sz w:val="19"/>
            <w:szCs w:val="19"/>
            <w:lang w:val="fr-FR"/>
          </w:rPr>
          <w:t>https://www.lachambre.be/kvvcr/pdf_sections/publications/reglement/Responsabilit%C3%A9%20p%C3%A9nale%20-%20loi%20du%2025%20juin%201998%20NTC.pdf</w:t>
        </w:r>
      </w:hyperlink>
      <w:r w:rsidRPr="00D37E76">
        <w:rPr>
          <w:rStyle w:val="Lienhypertexte"/>
          <w:rFonts w:asciiTheme="minorHAnsi" w:hAnsiTheme="minorHAnsi" w:cstheme="minorHAnsi"/>
          <w:sz w:val="19"/>
          <w:szCs w:val="19"/>
          <w:lang w:val="fr-FR"/>
        </w:rPr>
        <w:t xml:space="preserve"> </w:t>
      </w:r>
    </w:p>
  </w:footnote>
  <w:footnote w:id="37">
    <w:p w14:paraId="0DC4652D" w14:textId="77777777" w:rsidR="00CA03E6" w:rsidRPr="00E1651A" w:rsidRDefault="00CA03E6" w:rsidP="00607020">
      <w:pPr>
        <w:pStyle w:val="Notedebasdepage"/>
        <w:jc w:val="both"/>
        <w:rPr>
          <w:rFonts w:asciiTheme="minorHAnsi" w:hAnsiTheme="minorHAnsi"/>
          <w:lang w:val="fr-FR"/>
        </w:rPr>
      </w:pPr>
      <w:r w:rsidRPr="00E1651A">
        <w:rPr>
          <w:rStyle w:val="Appelnotedebasdep"/>
          <w:rFonts w:asciiTheme="minorHAnsi" w:hAnsiTheme="minorHAnsi"/>
          <w:lang w:val="fr-FR"/>
        </w:rPr>
        <w:footnoteRef/>
      </w:r>
      <w:r w:rsidRPr="00E1651A">
        <w:rPr>
          <w:rFonts w:asciiTheme="minorHAnsi" w:hAnsiTheme="minorHAnsi"/>
          <w:lang w:val="fr-FR"/>
        </w:rPr>
        <w:t xml:space="preserve"> </w:t>
      </w:r>
      <w:hyperlink r:id="rId28" w:history="1">
        <w:r w:rsidRPr="00607020">
          <w:rPr>
            <w:rStyle w:val="Lienhypertexte"/>
            <w:rFonts w:asciiTheme="minorHAnsi" w:hAnsiTheme="minorHAnsi"/>
            <w:sz w:val="19"/>
            <w:szCs w:val="19"/>
            <w:lang w:val="fr-FR"/>
          </w:rPr>
          <w:t>Rapport sur la relation entre responsabilité politique et responsabilité pénale des ministres</w:t>
        </w:r>
      </w:hyperlink>
      <w:r w:rsidRPr="00607020">
        <w:rPr>
          <w:rFonts w:asciiTheme="minorHAnsi" w:hAnsiTheme="minorHAnsi"/>
          <w:sz w:val="19"/>
          <w:szCs w:val="19"/>
          <w:lang w:val="fr-FR"/>
        </w:rPr>
        <w:t>, CDL-AD(2013)001, adopté par la Commission de Venise en 2013.</w:t>
      </w:r>
      <w:r w:rsidRPr="00E1651A">
        <w:rPr>
          <w:rFonts w:asciiTheme="minorHAnsi" w:hAnsiTheme="minorHAnsi"/>
          <w:lang w:val="fr-FR"/>
        </w:rPr>
        <w:t xml:space="preserve"> </w:t>
      </w:r>
    </w:p>
  </w:footnote>
  <w:footnote w:id="38">
    <w:p w14:paraId="34767E37" w14:textId="77777777" w:rsidR="00CA03E6" w:rsidRPr="00406EBF" w:rsidRDefault="00CA03E6" w:rsidP="00C4036E">
      <w:pPr>
        <w:pStyle w:val="Notedebasdepage"/>
        <w:jc w:val="both"/>
        <w:rPr>
          <w:sz w:val="19"/>
          <w:szCs w:val="19"/>
          <w:lang w:val="fr-BE"/>
        </w:rPr>
      </w:pPr>
      <w:r w:rsidRPr="00406EBF">
        <w:rPr>
          <w:rStyle w:val="Appelnotedebasdep"/>
          <w:sz w:val="19"/>
          <w:szCs w:val="19"/>
        </w:rPr>
        <w:footnoteRef/>
      </w:r>
      <w:r w:rsidRPr="00406EBF">
        <w:rPr>
          <w:sz w:val="19"/>
          <w:szCs w:val="19"/>
          <w:lang w:val="fr-BE"/>
        </w:rPr>
        <w:t xml:space="preserve"> </w:t>
      </w:r>
      <w:r w:rsidRPr="00406EBF">
        <w:rPr>
          <w:rFonts w:asciiTheme="minorHAnsi" w:hAnsiTheme="minorHAnsi" w:cstheme="minorHAnsi"/>
          <w:sz w:val="19"/>
          <w:szCs w:val="19"/>
          <w:lang w:val="fr-FR"/>
        </w:rPr>
        <w:t>Loi du 15 septembre 2013 relative à la dénonciation d'une atteinte suspectée à l'intégrité au sein d'une autorité administrative fédérale par un membre de son personnel (M.B. du 04/10/2013, Numac : 2013002044)</w:t>
      </w:r>
    </w:p>
  </w:footnote>
  <w:footnote w:id="39">
    <w:p w14:paraId="40D4D1FB" w14:textId="77777777" w:rsidR="00CA03E6" w:rsidRPr="00406EBF" w:rsidRDefault="00CA03E6" w:rsidP="000971E5">
      <w:pPr>
        <w:pStyle w:val="Notedebasdepage"/>
        <w:jc w:val="both"/>
        <w:rPr>
          <w:rFonts w:asciiTheme="minorHAnsi" w:hAnsiTheme="minorHAnsi" w:cstheme="minorHAnsi"/>
          <w:sz w:val="19"/>
          <w:szCs w:val="19"/>
          <w:lang w:val="fr-FR"/>
        </w:rPr>
      </w:pPr>
      <w:r w:rsidRPr="00406EBF">
        <w:rPr>
          <w:rStyle w:val="Appelnotedebasdep"/>
          <w:sz w:val="19"/>
          <w:szCs w:val="19"/>
        </w:rPr>
        <w:footnoteRef/>
      </w:r>
      <w:r w:rsidRPr="00406EBF">
        <w:rPr>
          <w:sz w:val="19"/>
          <w:szCs w:val="19"/>
          <w:lang w:val="fr-FR"/>
        </w:rPr>
        <w:t xml:space="preserve"> </w:t>
      </w:r>
      <w:r w:rsidRPr="00406EBF">
        <w:rPr>
          <w:rFonts w:asciiTheme="minorHAnsi" w:hAnsiTheme="minorHAnsi" w:cstheme="minorHAnsi"/>
          <w:sz w:val="19"/>
          <w:szCs w:val="19"/>
          <w:lang w:val="fr-FR"/>
        </w:rPr>
        <w:t>La composante interne est régie par l’arrêté royal du 9 octobre 2014 portant exécution de l'article 3, § 2, de la loi du 15 septembre 2013 relative à la dénonciation d'une atteinte suspectée à l'intégrité au sein d'une autorité administrative fédérale par un membre de son personnel. A l’heure actuelle, seules 17 administrations fédérales disposent d’au moins une personne de confiance intégrité.</w:t>
      </w:r>
    </w:p>
  </w:footnote>
  <w:footnote w:id="40">
    <w:p w14:paraId="76EC409E" w14:textId="5221B385" w:rsidR="00CA03E6" w:rsidRPr="00A27A70" w:rsidRDefault="00CA03E6">
      <w:pPr>
        <w:pStyle w:val="Notedebasdepage"/>
        <w:rPr>
          <w:lang w:val="fr-FR"/>
        </w:rPr>
      </w:pPr>
      <w:r>
        <w:rPr>
          <w:rStyle w:val="Appelnotedebasdep"/>
        </w:rPr>
        <w:footnoteRef/>
      </w:r>
      <w:r w:rsidRPr="00A27A70">
        <w:rPr>
          <w:lang w:val="fr-FR"/>
        </w:rPr>
        <w:t xml:space="preserve"> </w:t>
      </w:r>
      <w:r w:rsidRPr="00A27A70">
        <w:rPr>
          <w:rFonts w:asciiTheme="minorHAnsi" w:hAnsiTheme="minorHAnsi" w:cstheme="minorHAnsi"/>
          <w:sz w:val="19"/>
          <w:szCs w:val="19"/>
          <w:lang w:val="fr-FR"/>
        </w:rPr>
        <w:t>Les articles 30 et 31 du Code d’instruction criminelle, qui visent la dénonciation d’attentats à la sûreté publique ou à la vie ou la propriété d’un individu, restent par contre d’application.</w:t>
      </w:r>
    </w:p>
  </w:footnote>
  <w:footnote w:id="41">
    <w:p w14:paraId="3F886765" w14:textId="77777777" w:rsidR="00CA03E6" w:rsidRPr="00406EBF" w:rsidRDefault="00CA03E6" w:rsidP="00BC41E1">
      <w:pPr>
        <w:pStyle w:val="Notedebasdepage"/>
        <w:rPr>
          <w:sz w:val="19"/>
          <w:szCs w:val="19"/>
          <w:lang w:val="fr-BE"/>
        </w:rPr>
      </w:pPr>
      <w:r w:rsidRPr="00406EBF">
        <w:rPr>
          <w:rStyle w:val="Appelnotedebasdep"/>
          <w:sz w:val="19"/>
          <w:szCs w:val="19"/>
        </w:rPr>
        <w:footnoteRef/>
      </w:r>
      <w:r w:rsidRPr="00406EBF">
        <w:rPr>
          <w:sz w:val="19"/>
          <w:szCs w:val="19"/>
          <w:lang w:val="fr-BE"/>
        </w:rPr>
        <w:t xml:space="preserve"> </w:t>
      </w:r>
      <w:hyperlink r:id="rId29" w:history="1">
        <w:r w:rsidRPr="00406EBF">
          <w:rPr>
            <w:rStyle w:val="Lienhypertexte"/>
            <w:rFonts w:asciiTheme="minorHAnsi" w:hAnsiTheme="minorHAnsi"/>
            <w:sz w:val="19"/>
            <w:szCs w:val="19"/>
            <w:lang w:val="fr-BE"/>
          </w:rPr>
          <w:t>http://www.federaalombudsman.be/fr/rapports</w:t>
        </w:r>
      </w:hyperlink>
    </w:p>
  </w:footnote>
  <w:footnote w:id="42">
    <w:p w14:paraId="6EF36608" w14:textId="77777777" w:rsidR="00CA03E6" w:rsidRPr="00406EBF" w:rsidRDefault="00CA03E6" w:rsidP="00BE709A">
      <w:pPr>
        <w:pStyle w:val="Notedebasdepage"/>
        <w:jc w:val="both"/>
        <w:rPr>
          <w:sz w:val="19"/>
          <w:szCs w:val="19"/>
          <w:lang w:val="fr-BE"/>
        </w:rPr>
      </w:pPr>
      <w:r w:rsidRPr="00406EBF">
        <w:rPr>
          <w:rStyle w:val="Appelnotedebasdep"/>
          <w:sz w:val="19"/>
          <w:szCs w:val="19"/>
        </w:rPr>
        <w:footnoteRef/>
      </w:r>
      <w:r w:rsidRPr="00406EBF">
        <w:rPr>
          <w:sz w:val="19"/>
          <w:szCs w:val="19"/>
          <w:lang w:val="fr-BE"/>
        </w:rPr>
        <w:t xml:space="preserve"> </w:t>
      </w:r>
      <w:hyperlink r:id="rId30" w:history="1">
        <w:r w:rsidRPr="00406EBF">
          <w:rPr>
            <w:rStyle w:val="Lienhypertexte"/>
            <w:rFonts w:asciiTheme="minorHAnsi" w:hAnsiTheme="minorHAnsi"/>
            <w:sz w:val="19"/>
            <w:szCs w:val="19"/>
            <w:lang w:val="fr-BE"/>
          </w:rPr>
          <w:t>https://www.police.be/5998/fr/a-propos/directions-centrales/office-central-pour-la-repression-de-la-corruption-ocrc-0</w:t>
        </w:r>
      </w:hyperlink>
      <w:r w:rsidRPr="00406EBF">
        <w:rPr>
          <w:rFonts w:asciiTheme="minorHAnsi" w:hAnsiTheme="minorHAnsi"/>
          <w:sz w:val="19"/>
          <w:szCs w:val="19"/>
          <w:lang w:val="fr-BE"/>
        </w:rPr>
        <w:t xml:space="preserve"> </w:t>
      </w:r>
    </w:p>
  </w:footnote>
  <w:footnote w:id="43">
    <w:p w14:paraId="0A9E20AB" w14:textId="77777777" w:rsidR="00CA03E6" w:rsidRPr="00406EBF" w:rsidRDefault="00CA03E6">
      <w:pPr>
        <w:pStyle w:val="Notedebasdepage"/>
        <w:rPr>
          <w:sz w:val="19"/>
          <w:szCs w:val="19"/>
          <w:lang w:val="fr-FR"/>
        </w:rPr>
      </w:pPr>
      <w:r w:rsidRPr="00C616A3">
        <w:rPr>
          <w:rStyle w:val="Lienhypertexte"/>
          <w:rFonts w:asciiTheme="minorHAnsi" w:hAnsiTheme="minorHAnsi"/>
          <w:lang w:val="fr-BE"/>
        </w:rPr>
        <w:footnoteRef/>
      </w:r>
      <w:r w:rsidRPr="00C616A3">
        <w:rPr>
          <w:rStyle w:val="Lienhypertexte"/>
          <w:rFonts w:asciiTheme="minorHAnsi" w:hAnsiTheme="minorHAnsi"/>
          <w:lang w:val="fr-BE"/>
        </w:rPr>
        <w:t xml:space="preserve"> </w:t>
      </w:r>
      <w:hyperlink r:id="rId31" w:history="1">
        <w:r w:rsidRPr="00C616A3">
          <w:rPr>
            <w:rStyle w:val="Lienhypertexte"/>
            <w:rFonts w:asciiTheme="minorHAnsi" w:hAnsiTheme="minorHAnsi"/>
            <w:sz w:val="19"/>
            <w:szCs w:val="19"/>
            <w:lang w:val="fr-BE"/>
          </w:rPr>
          <w:t>https://www.levif.be/actualite/belgique/blanchis-les-enqueteurs-de-jumet-contre-attaquent/article-normal-106303.html?cookie_check=1566542104</w:t>
        </w:r>
      </w:hyperlink>
    </w:p>
  </w:footnote>
  <w:footnote w:id="44">
    <w:p w14:paraId="6F57F8FD" w14:textId="51E87F4A" w:rsidR="00CA03E6" w:rsidRPr="00406EBF" w:rsidRDefault="00CA03E6">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r w:rsidRPr="00406EBF">
        <w:rPr>
          <w:rFonts w:asciiTheme="minorHAnsi" w:hAnsiTheme="minorHAnsi"/>
          <w:sz w:val="19"/>
          <w:szCs w:val="19"/>
          <w:lang w:val="fr-FR"/>
        </w:rPr>
        <w:t xml:space="preserve">Voir note en bas de </w:t>
      </w:r>
      <w:r w:rsidRPr="004409F8">
        <w:rPr>
          <w:rFonts w:asciiTheme="minorHAnsi" w:hAnsiTheme="minorHAnsi"/>
          <w:sz w:val="19"/>
          <w:szCs w:val="19"/>
          <w:lang w:val="fr-FR"/>
        </w:rPr>
        <w:t>page n°21</w:t>
      </w:r>
    </w:p>
  </w:footnote>
  <w:footnote w:id="45">
    <w:p w14:paraId="1CF7FCF2" w14:textId="77777777" w:rsidR="00CA03E6" w:rsidRPr="00406EBF" w:rsidRDefault="00CA03E6">
      <w:pPr>
        <w:pStyle w:val="Notedebasdepage"/>
        <w:rPr>
          <w:rFonts w:asciiTheme="minorHAnsi" w:hAnsiTheme="minorHAnsi"/>
          <w:sz w:val="19"/>
          <w:szCs w:val="19"/>
          <w:lang w:val="fr-BE"/>
        </w:rPr>
      </w:pPr>
      <w:r w:rsidRPr="00406EBF">
        <w:rPr>
          <w:rStyle w:val="Appelnotedebasdep"/>
          <w:sz w:val="19"/>
          <w:szCs w:val="19"/>
        </w:rPr>
        <w:footnoteRef/>
      </w:r>
      <w:r w:rsidRPr="00406EBF">
        <w:rPr>
          <w:sz w:val="19"/>
          <w:szCs w:val="19"/>
          <w:lang w:val="fr-BE"/>
        </w:rPr>
        <w:t xml:space="preserve"> </w:t>
      </w:r>
      <w:hyperlink r:id="rId32" w:history="1">
        <w:r w:rsidRPr="00406EBF">
          <w:rPr>
            <w:rStyle w:val="Lienhypertexte"/>
            <w:rFonts w:asciiTheme="minorHAnsi" w:hAnsiTheme="minorHAnsi"/>
            <w:sz w:val="19"/>
            <w:szCs w:val="19"/>
            <w:lang w:val="fr-BE"/>
          </w:rPr>
          <w:t>http://www.ejustice.just.fgov.be/cgi_loi/change_lg.pl?language=fr&amp;la=F&amp;table_name=loi&amp;cn=2018073046</w:t>
        </w:r>
      </w:hyperlink>
      <w:r w:rsidRPr="00406EBF">
        <w:rPr>
          <w:rFonts w:asciiTheme="minorHAnsi" w:hAnsiTheme="minorHAnsi"/>
          <w:sz w:val="19"/>
          <w:szCs w:val="19"/>
          <w:lang w:val="fr-BE"/>
        </w:rPr>
        <w:t xml:space="preserve"> </w:t>
      </w:r>
    </w:p>
  </w:footnote>
  <w:footnote w:id="46">
    <w:p w14:paraId="70AF8D47" w14:textId="77777777" w:rsidR="00CA03E6" w:rsidRPr="00406EBF" w:rsidRDefault="00CA03E6">
      <w:pPr>
        <w:pStyle w:val="Notedebasdepage"/>
        <w:rPr>
          <w:sz w:val="19"/>
          <w:szCs w:val="19"/>
          <w:lang w:val="fr-BE"/>
        </w:rPr>
      </w:pPr>
      <w:r w:rsidRPr="00406EBF">
        <w:rPr>
          <w:rStyle w:val="Appelnotedebasdep"/>
          <w:sz w:val="19"/>
          <w:szCs w:val="19"/>
        </w:rPr>
        <w:footnoteRef/>
      </w:r>
      <w:r w:rsidRPr="00406EBF">
        <w:rPr>
          <w:sz w:val="19"/>
          <w:szCs w:val="19"/>
          <w:lang w:val="fr-BE"/>
        </w:rPr>
        <w:t xml:space="preserve"> </w:t>
      </w:r>
      <w:hyperlink r:id="rId33" w:history="1">
        <w:r w:rsidRPr="003B322B">
          <w:rPr>
            <w:rStyle w:val="Lienhypertexte"/>
            <w:rFonts w:asciiTheme="minorHAnsi" w:eastAsiaTheme="minorHAnsi" w:hAnsiTheme="minorHAnsi" w:cstheme="minorHAnsi"/>
            <w:sz w:val="19"/>
            <w:szCs w:val="19"/>
            <w:lang w:val="fr-FR"/>
          </w:rPr>
          <w:t>http://www.moniteurdesecurite.policefederale.be/moniteurdesecurite/</w:t>
        </w:r>
      </w:hyperlink>
      <w:r w:rsidRPr="003B322B">
        <w:rPr>
          <w:rStyle w:val="Lienhypertexte"/>
          <w:rFonts w:asciiTheme="minorHAnsi" w:eastAsiaTheme="minorHAnsi" w:hAnsiTheme="minorHAnsi" w:cstheme="minorHAnsi"/>
          <w:lang w:val="fr-FR"/>
        </w:rPr>
        <w:t xml:space="preserve"> </w:t>
      </w:r>
    </w:p>
  </w:footnote>
  <w:footnote w:id="47">
    <w:p w14:paraId="19CBD3EE" w14:textId="77777777" w:rsidR="00CA03E6" w:rsidRPr="00406EBF" w:rsidRDefault="00CA03E6" w:rsidP="00225588">
      <w:pPr>
        <w:pStyle w:val="Notedebasdepage"/>
        <w:jc w:val="both"/>
        <w:rPr>
          <w:rFonts w:asciiTheme="minorHAnsi" w:eastAsiaTheme="minorHAnsi" w:hAnsiTheme="minorHAnsi" w:cstheme="minorHAnsi"/>
          <w:sz w:val="19"/>
          <w:szCs w:val="19"/>
          <w:lang w:val="fr-FR"/>
        </w:rPr>
      </w:pPr>
      <w:r w:rsidRPr="00406EBF">
        <w:rPr>
          <w:rStyle w:val="Appelnotedebasdep"/>
          <w:sz w:val="19"/>
          <w:szCs w:val="19"/>
        </w:rPr>
        <w:footnoteRef/>
      </w:r>
      <w:r w:rsidRPr="00406EBF">
        <w:rPr>
          <w:sz w:val="19"/>
          <w:szCs w:val="19"/>
          <w:lang w:val="fr-FR"/>
        </w:rPr>
        <w:t xml:space="preserve"> </w:t>
      </w:r>
      <w:r w:rsidRPr="00406EBF">
        <w:rPr>
          <w:rFonts w:asciiTheme="minorHAnsi" w:eastAsiaTheme="minorHAnsi" w:hAnsiTheme="minorHAnsi" w:cstheme="minorHAnsi"/>
          <w:sz w:val="19"/>
          <w:szCs w:val="19"/>
          <w:lang w:val="fr-FR"/>
        </w:rPr>
        <w:t>Les prérogatives résultant de l'« agrément » sont limitées au fait d'agir dans l'intérêt des membres du personnel, d'assister ces derniers, d'afficher des avis et de recevoir de la documentation. Pour les organisations syndicales « représentatives » s'ajoutent les prérogatives suivantes : percevoir les cotisations syndicales dans les locaux pendant les heures de service, assister aux examens organisés pour les membres du personnel, organiser des réunions dans les locaux des services de police, participer aux comités de négociation et de concertation, gérer le service social et la participation prévue statutairement aux réunions de certaines commissions et de certains organes.</w:t>
      </w:r>
    </w:p>
  </w:footnote>
  <w:footnote w:id="48">
    <w:p w14:paraId="3B8E241C" w14:textId="77777777" w:rsidR="00CA03E6" w:rsidRPr="00406EBF" w:rsidRDefault="00CA03E6" w:rsidP="00291FE5">
      <w:pPr>
        <w:jc w:val="both"/>
        <w:rPr>
          <w:sz w:val="21"/>
          <w:szCs w:val="21"/>
        </w:rPr>
      </w:pPr>
      <w:r w:rsidRPr="00406EBF">
        <w:rPr>
          <w:rStyle w:val="Appelnotedebasdep"/>
          <w:sz w:val="21"/>
          <w:szCs w:val="21"/>
        </w:rPr>
        <w:footnoteRef/>
      </w:r>
      <w:r w:rsidRPr="00406EBF">
        <w:rPr>
          <w:sz w:val="21"/>
          <w:szCs w:val="21"/>
        </w:rPr>
        <w:t xml:space="preserve"> </w:t>
      </w:r>
      <w:hyperlink r:id="rId34" w:history="1">
        <w:r w:rsidRPr="00406EBF">
          <w:rPr>
            <w:rStyle w:val="Lienhypertexte"/>
            <w:rFonts w:cstheme="minorHAnsi"/>
            <w:sz w:val="19"/>
            <w:szCs w:val="19"/>
          </w:rPr>
          <w:t>http://www.cgsp-admi.be/notre-secteur/federal-police-pompiers-comite-b-oip-federaux/</w:t>
        </w:r>
      </w:hyperlink>
    </w:p>
  </w:footnote>
  <w:footnote w:id="49">
    <w:p w14:paraId="570C070F" w14:textId="77777777" w:rsidR="00CA03E6" w:rsidRPr="00406EBF" w:rsidRDefault="00CA03E6">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hyperlink r:id="rId35" w:history="1">
        <w:r w:rsidRPr="00406EBF">
          <w:rPr>
            <w:rStyle w:val="Lienhypertexte"/>
            <w:rFonts w:asciiTheme="minorHAnsi" w:hAnsiTheme="minorHAnsi" w:cstheme="minorHAnsi"/>
            <w:sz w:val="19"/>
            <w:szCs w:val="19"/>
            <w:lang w:val="fr-FR"/>
          </w:rPr>
          <w:t>https://csc-services-publics.csc-en-ligne.be/Qui-fait-quoi/Police/Police.html</w:t>
        </w:r>
      </w:hyperlink>
      <w:r w:rsidRPr="00406EBF">
        <w:rPr>
          <w:rFonts w:asciiTheme="minorHAnsi" w:hAnsiTheme="minorHAnsi" w:cstheme="minorHAnsi"/>
          <w:sz w:val="19"/>
          <w:szCs w:val="19"/>
          <w:lang w:val="fr-FR"/>
        </w:rPr>
        <w:t xml:space="preserve"> </w:t>
      </w:r>
    </w:p>
  </w:footnote>
  <w:footnote w:id="50">
    <w:p w14:paraId="0377AFD5" w14:textId="77777777" w:rsidR="00CA03E6" w:rsidRPr="00406EBF" w:rsidRDefault="00CA03E6">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hyperlink r:id="rId36" w:history="1">
        <w:r w:rsidRPr="00406EBF">
          <w:rPr>
            <w:rStyle w:val="Lienhypertexte"/>
            <w:rFonts w:asciiTheme="minorHAnsi" w:hAnsiTheme="minorHAnsi" w:cstheme="minorHAnsi"/>
            <w:sz w:val="19"/>
            <w:szCs w:val="19"/>
            <w:lang w:val="fr-FR"/>
          </w:rPr>
          <w:t>www.snps.be</w:t>
        </w:r>
      </w:hyperlink>
      <w:r w:rsidRPr="00406EBF">
        <w:rPr>
          <w:rFonts w:asciiTheme="minorHAnsi" w:hAnsiTheme="minorHAnsi" w:cstheme="minorHAnsi"/>
          <w:sz w:val="19"/>
          <w:szCs w:val="19"/>
          <w:lang w:val="fr-FR"/>
        </w:rPr>
        <w:t xml:space="preserve"> </w:t>
      </w:r>
    </w:p>
  </w:footnote>
  <w:footnote w:id="51">
    <w:p w14:paraId="21A128A4" w14:textId="77777777" w:rsidR="00CA03E6" w:rsidRPr="00406EBF" w:rsidRDefault="00CA03E6">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hyperlink r:id="rId37" w:history="1">
        <w:r w:rsidRPr="00406EBF">
          <w:rPr>
            <w:rStyle w:val="Lienhypertexte"/>
            <w:rFonts w:asciiTheme="minorHAnsi" w:hAnsiTheme="minorHAnsi" w:cstheme="minorHAnsi"/>
            <w:sz w:val="19"/>
            <w:szCs w:val="19"/>
            <w:lang w:val="fr-FR"/>
          </w:rPr>
          <w:t>https://vsoa-pol.be/fr_FR/</w:t>
        </w:r>
      </w:hyperlink>
    </w:p>
  </w:footnote>
  <w:footnote w:id="52">
    <w:p w14:paraId="3EA0E023" w14:textId="77777777" w:rsidR="00CA03E6" w:rsidRPr="00406EBF" w:rsidRDefault="00CA03E6">
      <w:pPr>
        <w:pStyle w:val="Notedebasdepage"/>
        <w:rPr>
          <w:sz w:val="19"/>
          <w:szCs w:val="19"/>
          <w:lang w:val="fr-FR"/>
        </w:rPr>
      </w:pPr>
      <w:r w:rsidRPr="00406EBF">
        <w:rPr>
          <w:rStyle w:val="Appelnotedebasdep"/>
          <w:sz w:val="19"/>
          <w:szCs w:val="19"/>
        </w:rPr>
        <w:footnoteRef/>
      </w:r>
      <w:r w:rsidRPr="00406EBF">
        <w:rPr>
          <w:sz w:val="19"/>
          <w:szCs w:val="19"/>
          <w:lang w:val="fr-FR"/>
        </w:rPr>
        <w:t xml:space="preserve"> </w:t>
      </w:r>
      <w:hyperlink r:id="rId38" w:history="1">
        <w:r w:rsidRPr="00CA03E6">
          <w:rPr>
            <w:rStyle w:val="Lienhypertexte"/>
            <w:rFonts w:asciiTheme="minorHAnsi" w:hAnsiTheme="minorHAnsi" w:cstheme="minorHAnsi"/>
            <w:sz w:val="19"/>
            <w:szCs w:val="19"/>
            <w:lang w:val="fr-FR"/>
          </w:rPr>
          <w:t>www.sypol.be/fr</w:t>
        </w:r>
      </w:hyperlink>
      <w:r w:rsidRPr="00CA03E6">
        <w:rPr>
          <w:rStyle w:val="Lienhypertexte"/>
          <w:rFonts w:asciiTheme="minorHAnsi" w:hAnsiTheme="minorHAnsi" w:cstheme="minorHAnsi"/>
        </w:rPr>
        <w:t xml:space="preserve"> </w:t>
      </w:r>
    </w:p>
  </w:footnote>
  <w:footnote w:id="53">
    <w:p w14:paraId="331CC3F0" w14:textId="47FF8A9D" w:rsidR="00CA03E6" w:rsidRPr="00406EBF" w:rsidRDefault="00CA03E6" w:rsidP="003011CC">
      <w:pPr>
        <w:pStyle w:val="Corpsde"/>
        <w:ind w:left="567" w:right="-852"/>
        <w:jc w:val="both"/>
        <w:rPr>
          <w:sz w:val="19"/>
          <w:szCs w:val="19"/>
          <w:lang w:val="fr-FR"/>
        </w:rPr>
      </w:pPr>
      <w:r w:rsidRPr="00406EBF">
        <w:rPr>
          <w:rStyle w:val="Appelnotedebasdep"/>
          <w:sz w:val="17"/>
          <w:szCs w:val="17"/>
        </w:rPr>
        <w:footnoteRef/>
      </w:r>
      <w:r w:rsidRPr="00406EBF">
        <w:rPr>
          <w:sz w:val="17"/>
          <w:szCs w:val="17"/>
          <w:lang w:val="fr-FR"/>
        </w:rPr>
        <w:t xml:space="preserve"> </w:t>
      </w:r>
      <w:bookmarkStart w:id="115" w:name="_Hlk1944789"/>
      <w:r w:rsidRPr="00406EBF">
        <w:rPr>
          <w:rStyle w:val="Lienhypertexte"/>
          <w:rFonts w:asciiTheme="minorHAnsi" w:hAnsiTheme="minorHAnsi" w:cstheme="minorHAnsi"/>
          <w:b w:val="0"/>
          <w:sz w:val="17"/>
          <w:szCs w:val="17"/>
          <w:lang w:val="fr-FR"/>
        </w:rPr>
        <w:fldChar w:fldCharType="begin"/>
      </w:r>
      <w:r w:rsidRPr="00406EBF">
        <w:rPr>
          <w:rStyle w:val="Lienhypertexte"/>
          <w:rFonts w:asciiTheme="minorHAnsi" w:hAnsiTheme="minorHAnsi" w:cstheme="minorHAnsi"/>
          <w:b w:val="0"/>
          <w:sz w:val="17"/>
          <w:szCs w:val="17"/>
          <w:lang w:val="fr-FR"/>
        </w:rPr>
        <w:instrText xml:space="preserve"> HYPERLINK "https://www.police.be/5998/fr/a-propos/police-integree/le-code-de-deontologie-des-services-de-police" </w:instrText>
      </w:r>
      <w:r w:rsidRPr="00406EBF">
        <w:rPr>
          <w:rStyle w:val="Lienhypertexte"/>
          <w:rFonts w:asciiTheme="minorHAnsi" w:hAnsiTheme="minorHAnsi" w:cstheme="minorHAnsi"/>
          <w:b w:val="0"/>
          <w:sz w:val="17"/>
          <w:szCs w:val="17"/>
          <w:lang w:val="fr-FR"/>
        </w:rPr>
        <w:fldChar w:fldCharType="separate"/>
      </w:r>
      <w:r w:rsidRPr="00406EBF">
        <w:rPr>
          <w:rStyle w:val="Lienhypertexte"/>
          <w:rFonts w:asciiTheme="minorHAnsi" w:hAnsiTheme="minorHAnsi" w:cstheme="minorHAnsi"/>
          <w:b w:val="0"/>
          <w:sz w:val="17"/>
          <w:szCs w:val="17"/>
          <w:lang w:val="fr-FR"/>
        </w:rPr>
        <w:t>https://www.Police.be/5998/fr/a-propos/Police-integree/le-code-de-deontologie-des-services-de-Police</w:t>
      </w:r>
      <w:r w:rsidRPr="00406EBF">
        <w:rPr>
          <w:rStyle w:val="Lienhypertexte"/>
          <w:rFonts w:asciiTheme="minorHAnsi" w:hAnsiTheme="minorHAnsi" w:cstheme="minorHAnsi"/>
          <w:b w:val="0"/>
          <w:sz w:val="17"/>
          <w:szCs w:val="17"/>
          <w:lang w:val="fr-FR"/>
        </w:rPr>
        <w:fldChar w:fldCharType="end"/>
      </w:r>
      <w:bookmarkEnd w:id="115"/>
    </w:p>
  </w:footnote>
  <w:footnote w:id="54">
    <w:p w14:paraId="7A732304" w14:textId="09D98C87" w:rsidR="00CA03E6" w:rsidRPr="00C24A49" w:rsidRDefault="00CA03E6" w:rsidP="00C24A49">
      <w:pPr>
        <w:pStyle w:val="Notedebasdepage"/>
        <w:jc w:val="both"/>
        <w:rPr>
          <w:rFonts w:asciiTheme="minorHAnsi" w:eastAsiaTheme="minorHAnsi" w:hAnsiTheme="minorHAnsi" w:cstheme="minorHAnsi"/>
          <w:sz w:val="19"/>
          <w:szCs w:val="19"/>
          <w:lang w:val="fr-FR"/>
        </w:rPr>
      </w:pPr>
      <w:r w:rsidRPr="00C24A49">
        <w:rPr>
          <w:rStyle w:val="Appelnotedebasdep"/>
          <w:sz w:val="19"/>
          <w:szCs w:val="19"/>
        </w:rPr>
        <w:footnoteRef/>
      </w:r>
      <w:r w:rsidRPr="00C24A49">
        <w:rPr>
          <w:lang w:val="fr-FR"/>
        </w:rPr>
        <w:t xml:space="preserve"> </w:t>
      </w:r>
      <w:r w:rsidRPr="00C24A49">
        <w:rPr>
          <w:rFonts w:asciiTheme="minorHAnsi" w:eastAsiaTheme="minorHAnsi" w:hAnsiTheme="minorHAnsi" w:cstheme="minorHAnsi"/>
          <w:sz w:val="19"/>
          <w:szCs w:val="19"/>
          <w:lang w:val="fr-FR"/>
        </w:rPr>
        <w:t xml:space="preserve">Le 24 avril 2019, l’AIG a proposé au ministre de l’Intérieur et de la Sécurité de prendre la présidence de cette commission eu égard notamment à sa mission générale relative à la définition, au respect et à l’actualisation de la déontologie policière. Cette proposition vise à garantir un minimum de deux réuniosn par an et, par conséquent, des avis plus réguliers. Le ministre examine actuellement la possibilité de la reprise de la présidence par l’AIG de la Commission de déontologie de la Police. </w:t>
      </w:r>
    </w:p>
  </w:footnote>
  <w:footnote w:id="55">
    <w:p w14:paraId="7195A51A" w14:textId="65E63D1A" w:rsidR="00CA03E6" w:rsidRPr="00406EBF" w:rsidRDefault="00CA03E6" w:rsidP="00093582">
      <w:pPr>
        <w:pStyle w:val="Notedebasdepage"/>
        <w:jc w:val="both"/>
        <w:rPr>
          <w:rFonts w:asciiTheme="minorHAnsi" w:hAnsiTheme="minorHAnsi" w:cstheme="minorHAnsi"/>
          <w:sz w:val="19"/>
          <w:szCs w:val="19"/>
          <w:lang w:val="fr-FR"/>
        </w:rPr>
      </w:pPr>
      <w:r w:rsidRPr="00406EBF">
        <w:rPr>
          <w:rStyle w:val="Appelnotedebasdep"/>
          <w:sz w:val="19"/>
          <w:szCs w:val="19"/>
        </w:rPr>
        <w:footnoteRef/>
      </w:r>
      <w:r w:rsidRPr="00406EBF">
        <w:rPr>
          <w:sz w:val="19"/>
          <w:szCs w:val="19"/>
          <w:lang w:val="fr-FR"/>
        </w:rPr>
        <w:t xml:space="preserve"> </w:t>
      </w:r>
      <w:r w:rsidRPr="00406EBF">
        <w:rPr>
          <w:rFonts w:asciiTheme="minorHAnsi" w:hAnsiTheme="minorHAnsi" w:cstheme="minorHAnsi"/>
          <w:sz w:val="19"/>
          <w:szCs w:val="19"/>
          <w:lang w:val="fr-FR"/>
        </w:rPr>
        <w:t xml:space="preserve">La commission de </w:t>
      </w:r>
      <w:r>
        <w:rPr>
          <w:rFonts w:asciiTheme="minorHAnsi" w:hAnsiTheme="minorHAnsi" w:cstheme="minorHAnsi"/>
          <w:sz w:val="19"/>
          <w:szCs w:val="19"/>
          <w:lang w:val="fr-FR"/>
        </w:rPr>
        <w:t>délibération</w:t>
      </w:r>
      <w:r w:rsidRPr="00406EBF">
        <w:rPr>
          <w:rFonts w:asciiTheme="minorHAnsi" w:hAnsiTheme="minorHAnsi" w:cstheme="minorHAnsi"/>
          <w:sz w:val="19"/>
          <w:szCs w:val="19"/>
          <w:lang w:val="fr-FR"/>
        </w:rPr>
        <w:t xml:space="preserve"> est composée :  1) du directeur </w:t>
      </w:r>
      <w:r>
        <w:rPr>
          <w:rFonts w:asciiTheme="minorHAnsi" w:hAnsiTheme="minorHAnsi" w:cstheme="minorHAnsi"/>
          <w:sz w:val="19"/>
          <w:szCs w:val="19"/>
          <w:lang w:val="fr-FR"/>
        </w:rPr>
        <w:t>de la direction du personnel</w:t>
      </w:r>
      <w:r w:rsidRPr="00406EBF">
        <w:rPr>
          <w:rFonts w:asciiTheme="minorHAnsi" w:hAnsiTheme="minorHAnsi" w:cstheme="minorHAnsi"/>
          <w:sz w:val="19"/>
          <w:szCs w:val="19"/>
          <w:lang w:val="fr-FR"/>
        </w:rPr>
        <w:t xml:space="preserve"> de la police fédérale ou du membre du personnel qu’il désigne, qui assure la présidence ; 2) d’un membre du personnel de la police locale, désigné par la Commission permanente de la police locale ; 3) d’un membre du personnel de la police fédérale, désigné par le directeur général </w:t>
      </w:r>
      <w:r>
        <w:rPr>
          <w:rFonts w:asciiTheme="minorHAnsi" w:hAnsiTheme="minorHAnsi" w:cstheme="minorHAnsi"/>
          <w:sz w:val="19"/>
          <w:szCs w:val="19"/>
          <w:lang w:val="fr-FR"/>
        </w:rPr>
        <w:t>de la gestion des ressources et de l’information</w:t>
      </w:r>
      <w:r w:rsidRPr="00406EBF">
        <w:rPr>
          <w:rFonts w:asciiTheme="minorHAnsi" w:hAnsiTheme="minorHAnsi" w:cstheme="minorHAnsi"/>
          <w:sz w:val="19"/>
          <w:szCs w:val="19"/>
          <w:lang w:val="fr-FR"/>
        </w:rPr>
        <w:t xml:space="preserve">. La commission décide à la majorité simple, tous ses membres devant être présents. </w:t>
      </w:r>
    </w:p>
  </w:footnote>
  <w:footnote w:id="56">
    <w:p w14:paraId="764629D7" w14:textId="4CC2F2A0" w:rsidR="00CA03E6" w:rsidRPr="001F69EC" w:rsidRDefault="00CA03E6" w:rsidP="001F69EC">
      <w:pPr>
        <w:pStyle w:val="Notedebasdepage"/>
        <w:jc w:val="both"/>
        <w:rPr>
          <w:rFonts w:asciiTheme="minorHAnsi" w:hAnsiTheme="minorHAnsi" w:cstheme="minorHAnsi"/>
          <w:sz w:val="19"/>
          <w:szCs w:val="19"/>
          <w:lang w:val="fr-FR"/>
        </w:rPr>
      </w:pPr>
      <w:r w:rsidRPr="00AF20A9">
        <w:rPr>
          <w:rStyle w:val="Appelnotedebasdep"/>
          <w:sz w:val="19"/>
          <w:szCs w:val="19"/>
        </w:rPr>
        <w:footnoteRef/>
      </w:r>
      <w:r w:rsidRPr="00AF20A9">
        <w:rPr>
          <w:lang w:val="fr-FR"/>
        </w:rPr>
        <w:t xml:space="preserve"> </w:t>
      </w:r>
      <w:r w:rsidRPr="001F69EC">
        <w:rPr>
          <w:rFonts w:asciiTheme="minorHAnsi" w:hAnsiTheme="minorHAnsi" w:cstheme="minorHAnsi"/>
          <w:sz w:val="19"/>
          <w:szCs w:val="19"/>
          <w:lang w:val="fr-FR"/>
        </w:rPr>
        <w:t xml:space="preserve">La liste complète des motifs de cessation des fonctions figure </w:t>
      </w:r>
      <w:r>
        <w:rPr>
          <w:rFonts w:asciiTheme="minorHAnsi" w:hAnsiTheme="minorHAnsi" w:cstheme="minorHAnsi"/>
          <w:sz w:val="19"/>
          <w:szCs w:val="19"/>
          <w:lang w:val="fr-FR"/>
        </w:rPr>
        <w:t xml:space="preserve">aux </w:t>
      </w:r>
      <w:r w:rsidRPr="001F69EC">
        <w:rPr>
          <w:rFonts w:asciiTheme="minorHAnsi" w:hAnsiTheme="minorHAnsi" w:cstheme="minorHAnsi"/>
          <w:sz w:val="19"/>
          <w:szCs w:val="19"/>
          <w:lang w:val="fr-FR"/>
        </w:rPr>
        <w:t>article</w:t>
      </w:r>
      <w:r>
        <w:rPr>
          <w:rFonts w:asciiTheme="minorHAnsi" w:hAnsiTheme="minorHAnsi" w:cstheme="minorHAnsi"/>
          <w:sz w:val="19"/>
          <w:szCs w:val="19"/>
          <w:lang w:val="fr-FR"/>
        </w:rPr>
        <w:t>s</w:t>
      </w:r>
      <w:r w:rsidRPr="001F69EC">
        <w:rPr>
          <w:rFonts w:asciiTheme="minorHAnsi" w:hAnsiTheme="minorHAnsi" w:cstheme="minorHAnsi"/>
          <w:sz w:val="19"/>
          <w:szCs w:val="19"/>
          <w:lang w:val="fr-FR"/>
        </w:rPr>
        <w:t xml:space="preserve"> 81 </w:t>
      </w:r>
      <w:r>
        <w:rPr>
          <w:rFonts w:asciiTheme="minorHAnsi" w:hAnsiTheme="minorHAnsi" w:cstheme="minorHAnsi"/>
          <w:sz w:val="19"/>
          <w:szCs w:val="19"/>
          <w:lang w:val="fr-FR"/>
        </w:rPr>
        <w:t xml:space="preserve">à 84 </w:t>
      </w:r>
      <w:r w:rsidRPr="001F69EC">
        <w:rPr>
          <w:rFonts w:asciiTheme="minorHAnsi" w:hAnsiTheme="minorHAnsi" w:cstheme="minorHAnsi"/>
          <w:sz w:val="19"/>
          <w:szCs w:val="19"/>
          <w:lang w:val="fr-FR"/>
        </w:rPr>
        <w:t>de la loi du 26 avril 2002 relative aux éléments essentiels du statut des membres du personnel des services de police et portant diverses autres dispositions relatives aux services de police (loi Exodus).</w:t>
      </w:r>
    </w:p>
  </w:footnote>
  <w:footnote w:id="57">
    <w:p w14:paraId="14EBCB43" w14:textId="77777777" w:rsidR="00CA03E6" w:rsidRPr="00406EBF" w:rsidRDefault="00CA03E6" w:rsidP="00FE3DF6">
      <w:pPr>
        <w:spacing w:line="240" w:lineRule="auto"/>
        <w:jc w:val="both"/>
        <w:rPr>
          <w:rFonts w:cstheme="minorHAnsi"/>
          <w:sz w:val="19"/>
          <w:szCs w:val="19"/>
        </w:rPr>
      </w:pPr>
      <w:r w:rsidRPr="00406EBF">
        <w:rPr>
          <w:rStyle w:val="Appelnotedebasdep"/>
          <w:sz w:val="21"/>
          <w:szCs w:val="21"/>
        </w:rPr>
        <w:footnoteRef/>
      </w:r>
      <w:r w:rsidRPr="00406EBF">
        <w:rPr>
          <w:sz w:val="21"/>
          <w:szCs w:val="21"/>
        </w:rPr>
        <w:t xml:space="preserve"> </w:t>
      </w:r>
      <w:r w:rsidRPr="00406EBF">
        <w:rPr>
          <w:rFonts w:cstheme="minorHAnsi"/>
          <w:sz w:val="19"/>
          <w:szCs w:val="19"/>
        </w:rPr>
        <w:t xml:space="preserve">L’ensemble des échelles de traitement peut être consulté sur le site internet </w:t>
      </w:r>
      <w:hyperlink r:id="rId39" w:history="1">
        <w:r w:rsidRPr="00406EBF">
          <w:rPr>
            <w:rStyle w:val="Lienhypertexte"/>
            <w:rFonts w:cstheme="minorHAnsi"/>
            <w:sz w:val="19"/>
            <w:szCs w:val="19"/>
          </w:rPr>
          <w:t>www.ssgpi.be</w:t>
        </w:r>
      </w:hyperlink>
      <w:r w:rsidRPr="00406EBF">
        <w:rPr>
          <w:rFonts w:cstheme="minorHAnsi"/>
          <w:sz w:val="19"/>
          <w:szCs w:val="19"/>
        </w:rPr>
        <w:t xml:space="preserve">, en suivant les options Employeur (ou Membre du personnel) &gt; Votre traitement &gt; Echelles de traitement. </w:t>
      </w:r>
    </w:p>
    <w:p w14:paraId="34E183B6" w14:textId="77777777" w:rsidR="00CA03E6" w:rsidRPr="00406EBF" w:rsidRDefault="00CA03E6">
      <w:pPr>
        <w:pStyle w:val="Notedebasdepage"/>
        <w:rPr>
          <w:sz w:val="19"/>
          <w:szCs w:val="19"/>
          <w:lang w:val="fr-FR"/>
        </w:rPr>
      </w:pPr>
    </w:p>
  </w:footnote>
  <w:footnote w:id="58">
    <w:p w14:paraId="4A86A3B3" w14:textId="77777777" w:rsidR="00CA03E6" w:rsidRPr="00FE3DF6" w:rsidRDefault="00CA03E6" w:rsidP="00FE3DF6">
      <w:pPr>
        <w:pStyle w:val="Notedebasdepage"/>
        <w:jc w:val="both"/>
        <w:rPr>
          <w:rFonts w:asciiTheme="minorHAnsi" w:hAnsiTheme="minorHAnsi" w:cstheme="minorHAnsi"/>
          <w:sz w:val="15"/>
          <w:szCs w:val="15"/>
          <w:lang w:val="fr-FR"/>
        </w:rPr>
      </w:pPr>
      <w:r w:rsidRPr="00406EBF">
        <w:rPr>
          <w:rStyle w:val="Appelnotedebasdep"/>
          <w:sz w:val="19"/>
          <w:szCs w:val="19"/>
        </w:rPr>
        <w:footnoteRef/>
      </w:r>
      <w:r w:rsidRPr="00406EBF">
        <w:rPr>
          <w:sz w:val="19"/>
          <w:szCs w:val="19"/>
          <w:lang w:val="fr-FR"/>
        </w:rPr>
        <w:t xml:space="preserve"> </w:t>
      </w:r>
      <w:r w:rsidRPr="00FE3DF6">
        <w:rPr>
          <w:rFonts w:asciiTheme="minorHAnsi" w:hAnsiTheme="minorHAnsi" w:cstheme="minorHAnsi"/>
          <w:color w:val="000000" w:themeColor="text1"/>
          <w:sz w:val="19"/>
          <w:szCs w:val="19"/>
          <w:lang w:val="fr-FR"/>
        </w:rPr>
        <w:t xml:space="preserve">La liste des allocations et indemnités peut être consultée sur le site internet </w:t>
      </w:r>
      <w:hyperlink r:id="rId40" w:history="1">
        <w:r w:rsidRPr="00FE3DF6">
          <w:rPr>
            <w:rStyle w:val="Lienhypertexte"/>
            <w:rFonts w:asciiTheme="minorHAnsi" w:hAnsiTheme="minorHAnsi" w:cstheme="minorHAnsi"/>
            <w:sz w:val="19"/>
            <w:szCs w:val="19"/>
            <w:lang w:val="fr-FR"/>
          </w:rPr>
          <w:t>www.ssgpi.be</w:t>
        </w:r>
      </w:hyperlink>
      <w:r w:rsidRPr="00FE3DF6">
        <w:rPr>
          <w:rFonts w:asciiTheme="minorHAnsi" w:hAnsiTheme="minorHAnsi" w:cstheme="minorHAnsi"/>
          <w:color w:val="000000" w:themeColor="text1"/>
          <w:sz w:val="19"/>
          <w:szCs w:val="19"/>
          <w:lang w:val="fr-FR"/>
        </w:rPr>
        <w:t>, en suivant les options Employeur (ou Membre du personnel) &gt; Votre traitement &gt; Module de calcul (sous la rubrique « Les montants indexés »). De plus, un Manuel complet et régulièrement mis à jour comporte l’ensemble des informations concernant chacune des allocations et indemnités. Il peut être consulté sur le même site en suivant les options Employeur (ou Membre du personnel) &gt; Manuels &gt; Manuel d’administration financière du personnel.</w:t>
      </w:r>
    </w:p>
  </w:footnote>
  <w:footnote w:id="59">
    <w:p w14:paraId="69B3F640" w14:textId="337122E0" w:rsidR="00CA03E6" w:rsidRPr="007B032D" w:rsidRDefault="00CA03E6" w:rsidP="007B032D">
      <w:pPr>
        <w:pStyle w:val="Notedebasdepage"/>
        <w:jc w:val="both"/>
        <w:rPr>
          <w:rFonts w:asciiTheme="minorHAnsi" w:hAnsiTheme="minorHAnsi" w:cstheme="minorHAnsi"/>
          <w:sz w:val="19"/>
          <w:szCs w:val="19"/>
          <w:lang w:val="fr-BE"/>
        </w:rPr>
      </w:pPr>
      <w:r>
        <w:rPr>
          <w:rStyle w:val="Appelnotedebasdep"/>
        </w:rPr>
        <w:footnoteRef/>
      </w:r>
      <w:r w:rsidRPr="007B032D">
        <w:rPr>
          <w:rFonts w:asciiTheme="minorHAnsi" w:hAnsiTheme="minorHAnsi" w:cstheme="minorHAnsi"/>
          <w:sz w:val="19"/>
          <w:szCs w:val="19"/>
          <w:lang w:val="fr-BE"/>
        </w:rPr>
        <w:t>La loi du 15 septembre 2013 n’exonère cependant pas les fonctionnaires de police de l’application de l’article 40 de la loi du 5 août 1992 sur la fonction de police (rédaction de procès-verbaux à l’occasion de plaintes, constatations et dénonciations) dont la méconnaissance est sanctionnée pénalement.</w:t>
      </w:r>
    </w:p>
  </w:footnote>
  <w:footnote w:id="60">
    <w:p w14:paraId="2A42E7EA" w14:textId="77777777" w:rsidR="00CA03E6" w:rsidRPr="00406EBF" w:rsidRDefault="00CA03E6" w:rsidP="00436C8E">
      <w:pPr>
        <w:pStyle w:val="Notedebasdepage"/>
        <w:jc w:val="both"/>
        <w:rPr>
          <w:rFonts w:asciiTheme="minorHAnsi" w:hAnsiTheme="minorHAnsi" w:cstheme="minorHAnsi"/>
          <w:sz w:val="19"/>
          <w:szCs w:val="19"/>
          <w:lang w:val="fr-BE"/>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BE"/>
        </w:rPr>
        <w:t xml:space="preserve"> Un même dossier de plainte peut recevoir plusieurs orientations, car il comprend fréquemment plusieurs doléances. Cela explique que le nombre total des orientations ne correspond pas nécessairement au nombre total des dossiers.</w:t>
      </w:r>
    </w:p>
  </w:footnote>
  <w:footnote w:id="61">
    <w:p w14:paraId="63C7C656" w14:textId="77777777" w:rsidR="00CA03E6" w:rsidRPr="00406EBF" w:rsidRDefault="00CA03E6" w:rsidP="00436C8E">
      <w:pPr>
        <w:pStyle w:val="Notedebasdepage"/>
        <w:jc w:val="both"/>
        <w:rPr>
          <w:rFonts w:asciiTheme="minorHAnsi" w:hAnsiTheme="minorHAnsi" w:cstheme="minorHAnsi"/>
          <w:sz w:val="19"/>
          <w:szCs w:val="19"/>
          <w:lang w:val="fr-BE"/>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BE"/>
        </w:rPr>
        <w:t xml:space="preserve"> Est visé ici l’exercice d’activités accessoires. </w:t>
      </w:r>
    </w:p>
  </w:footnote>
  <w:footnote w:id="62">
    <w:p w14:paraId="0210B247" w14:textId="77777777" w:rsidR="00CA03E6" w:rsidRPr="00406EBF" w:rsidRDefault="00CA03E6" w:rsidP="00AE367F">
      <w:pPr>
        <w:pStyle w:val="Notedebasdepage"/>
        <w:jc w:val="both"/>
        <w:rPr>
          <w:rFonts w:asciiTheme="minorHAnsi" w:hAnsiTheme="minorHAnsi" w:cstheme="minorHAnsi"/>
          <w:sz w:val="17"/>
          <w:szCs w:val="17"/>
          <w:lang w:val="fr-BE"/>
        </w:rPr>
      </w:pPr>
      <w:r w:rsidRPr="00406EBF">
        <w:rPr>
          <w:rStyle w:val="Appelnotedebasdep"/>
          <w:rFonts w:asciiTheme="minorHAnsi" w:hAnsiTheme="minorHAnsi" w:cstheme="minorHAnsi"/>
          <w:sz w:val="19"/>
          <w:szCs w:val="19"/>
        </w:rPr>
        <w:footnoteRef/>
      </w:r>
      <w:r w:rsidRPr="00406EBF">
        <w:rPr>
          <w:rFonts w:asciiTheme="minorHAnsi" w:hAnsiTheme="minorHAnsi" w:cstheme="minorHAnsi"/>
          <w:sz w:val="19"/>
          <w:szCs w:val="19"/>
          <w:lang w:val="fr-BE"/>
        </w:rPr>
        <w:t xml:space="preserve"> Le Comité P suit également activement la presse quotidienne. Lorsqu’il y est fait état d’une affaire judiciaire concernant un policier, il ne manque pas de s’enquérir auprès des instances judiciaires de la décision rendue.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7C74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5497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Num2"/>
    <w:lvl w:ilvl="0">
      <w:start w:val="1"/>
      <w:numFmt w:val="decimal"/>
      <w:lvlText w:val="%1."/>
      <w:lvlJc w:val="left"/>
      <w:pPr>
        <w:tabs>
          <w:tab w:val="num" w:pos="0"/>
        </w:tabs>
        <w:ind w:left="0" w:firstLine="0"/>
      </w:pPr>
      <w:rPr>
        <w:rFonts w:cs="Calibri"/>
        <w:b w:val="0"/>
        <w:i w:val="0"/>
        <w:color w:val="00000A"/>
        <w:sz w:val="22"/>
        <w:szCs w:val="22"/>
        <w:lang w:val="en-GB"/>
      </w:rPr>
    </w:lvl>
    <w:lvl w:ilvl="1">
      <w:start w:val="1"/>
      <w:numFmt w:val="bullet"/>
      <w:lvlText w:val="-"/>
      <w:lvlJc w:val="left"/>
      <w:pPr>
        <w:tabs>
          <w:tab w:val="num" w:pos="0"/>
        </w:tabs>
        <w:ind w:left="1080" w:hanging="360"/>
      </w:pPr>
      <w:rPr>
        <w:rFonts w:ascii="Calibri" w:hAnsi="Calibri" w:cs="Calibri"/>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11D6A4E"/>
    <w:multiLevelType w:val="hybridMultilevel"/>
    <w:tmpl w:val="FBB0235C"/>
    <w:lvl w:ilvl="0" w:tplc="04090001">
      <w:start w:val="1"/>
      <w:numFmt w:val="bullet"/>
      <w:lvlText w:val=""/>
      <w:lvlJc w:val="left"/>
      <w:pPr>
        <w:tabs>
          <w:tab w:val="num" w:pos="709"/>
        </w:tabs>
        <w:ind w:left="709" w:hanging="567"/>
      </w:pPr>
      <w:rPr>
        <w:rFonts w:ascii="Symbol" w:hAnsi="Symbol" w:hint="default"/>
        <w:b w:val="0"/>
        <w:i w:val="0"/>
        <w:color w:val="auto"/>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693FB9"/>
    <w:multiLevelType w:val="hybridMultilevel"/>
    <w:tmpl w:val="9F5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94253"/>
    <w:multiLevelType w:val="hybridMultilevel"/>
    <w:tmpl w:val="649049B2"/>
    <w:lvl w:ilvl="0" w:tplc="EBEA15DA">
      <w:start w:val="4"/>
      <w:numFmt w:val="decimal"/>
      <w:lvlText w:val="%1."/>
      <w:lvlJc w:val="left"/>
      <w:pPr>
        <w:tabs>
          <w:tab w:val="num" w:pos="567"/>
        </w:tabs>
        <w:ind w:left="567" w:hanging="567"/>
      </w:pPr>
      <w:rPr>
        <w:rFonts w:ascii="Arial Narrow" w:hAnsi="Arial Narrow"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091E72"/>
    <w:multiLevelType w:val="hybridMultilevel"/>
    <w:tmpl w:val="74C8BE9C"/>
    <w:lvl w:ilvl="0" w:tplc="EEDE5A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654EB5"/>
    <w:multiLevelType w:val="hybridMultilevel"/>
    <w:tmpl w:val="BA7228A2"/>
    <w:lvl w:ilvl="0" w:tplc="C6FEA3E2">
      <w:numFmt w:val="bullet"/>
      <w:lvlText w:val="-"/>
      <w:lvlJc w:val="left"/>
      <w:pPr>
        <w:ind w:left="1647" w:hanging="360"/>
      </w:pPr>
      <w:rPr>
        <w:rFonts w:ascii="Calibri" w:eastAsiaTheme="minorHAnsi" w:hAnsi="Calibri" w:cs="Calibri"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8" w15:restartNumberingAfterBreak="0">
    <w:nsid w:val="04E86BD9"/>
    <w:multiLevelType w:val="multilevel"/>
    <w:tmpl w:val="4C22218C"/>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597221"/>
    <w:multiLevelType w:val="hybridMultilevel"/>
    <w:tmpl w:val="4ECE932A"/>
    <w:lvl w:ilvl="0" w:tplc="3DD80AC4">
      <w:start w:val="1"/>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D30656"/>
    <w:multiLevelType w:val="hybridMultilevel"/>
    <w:tmpl w:val="8E20F5B2"/>
    <w:lvl w:ilvl="0" w:tplc="B5A8976C">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813027"/>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64631BD"/>
    <w:multiLevelType w:val="hybridMultilevel"/>
    <w:tmpl w:val="944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A5F3F"/>
    <w:multiLevelType w:val="hybridMultilevel"/>
    <w:tmpl w:val="DC96EB1C"/>
    <w:lvl w:ilvl="0" w:tplc="0813000F">
      <w:start w:val="1"/>
      <w:numFmt w:val="decimal"/>
      <w:lvlText w:val="%1."/>
      <w:lvlJc w:val="left"/>
      <w:pPr>
        <w:ind w:left="1287" w:hanging="360"/>
      </w:pPr>
      <w:rPr>
        <w:rFont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1BF40793"/>
    <w:multiLevelType w:val="hybridMultilevel"/>
    <w:tmpl w:val="C09A4FEA"/>
    <w:lvl w:ilvl="0" w:tplc="283A7D2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714E7"/>
    <w:multiLevelType w:val="hybridMultilevel"/>
    <w:tmpl w:val="B752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10C9A"/>
    <w:multiLevelType w:val="hybridMultilevel"/>
    <w:tmpl w:val="466AB54E"/>
    <w:lvl w:ilvl="0" w:tplc="040C000F">
      <w:start w:val="1"/>
      <w:numFmt w:val="decimal"/>
      <w:lvlText w:val="%1."/>
      <w:lvlJc w:val="left"/>
      <w:pPr>
        <w:ind w:left="720" w:hanging="360"/>
      </w:pPr>
    </w:lvl>
    <w:lvl w:ilvl="1" w:tplc="2300180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6936CA"/>
    <w:multiLevelType w:val="hybridMultilevel"/>
    <w:tmpl w:val="A6245BFC"/>
    <w:lvl w:ilvl="0" w:tplc="EFA053F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4B208E"/>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25FF6FED"/>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29CA5EF4"/>
    <w:multiLevelType w:val="hybridMultilevel"/>
    <w:tmpl w:val="DC96EB1C"/>
    <w:lvl w:ilvl="0" w:tplc="0813000F">
      <w:start w:val="1"/>
      <w:numFmt w:val="decimal"/>
      <w:lvlText w:val="%1."/>
      <w:lvlJc w:val="left"/>
      <w:pPr>
        <w:ind w:left="1287" w:hanging="360"/>
      </w:pPr>
      <w:rPr>
        <w:rFont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2C253705"/>
    <w:multiLevelType w:val="hybridMultilevel"/>
    <w:tmpl w:val="0D864B54"/>
    <w:lvl w:ilvl="0" w:tplc="B5A8976C">
      <w:numFmt w:val="bullet"/>
      <w:lvlText w:val="-"/>
      <w:lvlJc w:val="left"/>
      <w:pPr>
        <w:ind w:left="1800" w:hanging="360"/>
      </w:pPr>
      <w:rPr>
        <w:rFonts w:ascii="Arial Narrow" w:eastAsiaTheme="minorHAnsi" w:hAnsi="Arial Narrow" w:cstheme="minorBidi" w:hint="default"/>
      </w:rPr>
    </w:lvl>
    <w:lvl w:ilvl="1" w:tplc="B5A8976C">
      <w:numFmt w:val="bullet"/>
      <w:lvlText w:val="-"/>
      <w:lvlJc w:val="left"/>
      <w:pPr>
        <w:ind w:left="2520" w:hanging="360"/>
      </w:pPr>
      <w:rPr>
        <w:rFonts w:ascii="Arial Narrow" w:eastAsiaTheme="minorHAnsi" w:hAnsi="Arial Narrow" w:cstheme="minorBidi"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2DC75EC6"/>
    <w:multiLevelType w:val="hybridMultilevel"/>
    <w:tmpl w:val="2B2A3FEC"/>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23" w15:restartNumberingAfterBreak="0">
    <w:nsid w:val="32DA1CBC"/>
    <w:multiLevelType w:val="hybridMultilevel"/>
    <w:tmpl w:val="FA0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422D0"/>
    <w:multiLevelType w:val="multilevel"/>
    <w:tmpl w:val="67E4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3D58F6"/>
    <w:multiLevelType w:val="hybridMultilevel"/>
    <w:tmpl w:val="1C5097E8"/>
    <w:lvl w:ilvl="0" w:tplc="04090001">
      <w:start w:val="1"/>
      <w:numFmt w:val="bullet"/>
      <w:lvlText w:val=""/>
      <w:lvlJc w:val="left"/>
      <w:pPr>
        <w:tabs>
          <w:tab w:val="num" w:pos="1560"/>
        </w:tabs>
        <w:ind w:left="1560" w:hanging="567"/>
      </w:pPr>
      <w:rPr>
        <w:rFonts w:ascii="Symbol" w:hAnsi="Symbol" w:hint="default"/>
        <w:b w:val="0"/>
        <w:i w:val="0"/>
        <w:color w:val="auto"/>
        <w:sz w:val="24"/>
        <w:szCs w:val="24"/>
        <w:lang w:val="fr-FR"/>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BE3819"/>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54722"/>
    <w:multiLevelType w:val="hybridMultilevel"/>
    <w:tmpl w:val="6AF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07309"/>
    <w:multiLevelType w:val="hybridMultilevel"/>
    <w:tmpl w:val="FCAE47EA"/>
    <w:lvl w:ilvl="0" w:tplc="F198D834">
      <w:start w:val="1"/>
      <w:numFmt w:val="decimal"/>
      <w:lvlText w:val="%1."/>
      <w:lvlJc w:val="left"/>
      <w:pPr>
        <w:tabs>
          <w:tab w:val="num" w:pos="1560"/>
        </w:tabs>
        <w:ind w:left="1560" w:hanging="567"/>
      </w:pPr>
      <w:rPr>
        <w:rFonts w:asciiTheme="minorHAnsi" w:hAnsiTheme="minorHAnsi" w:cs="Times New Roman" w:hint="default"/>
        <w:b w:val="0"/>
        <w:i w:val="0"/>
        <w:color w:val="auto"/>
        <w:sz w:val="24"/>
        <w:szCs w:val="24"/>
        <w:lang w:val="fr-FR"/>
      </w:rPr>
    </w:lvl>
    <w:lvl w:ilvl="1" w:tplc="B5A8976C">
      <w:numFmt w:val="bullet"/>
      <w:lvlText w:val="-"/>
      <w:lvlJc w:val="left"/>
      <w:pPr>
        <w:tabs>
          <w:tab w:val="num" w:pos="1440"/>
        </w:tabs>
        <w:ind w:left="1440" w:hanging="360"/>
      </w:pPr>
      <w:rPr>
        <w:rFonts w:ascii="Arial Narrow" w:eastAsiaTheme="minorHAnsi" w:hAnsi="Arial Narrow" w:cstheme="minorBidi"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D2656D"/>
    <w:multiLevelType w:val="hybridMultilevel"/>
    <w:tmpl w:val="91EEC9FC"/>
    <w:lvl w:ilvl="0" w:tplc="D992649E">
      <w:start w:val="1"/>
      <w:numFmt w:val="decimal"/>
      <w:lvlText w:val="%1."/>
      <w:lvlJc w:val="left"/>
      <w:pPr>
        <w:tabs>
          <w:tab w:val="num" w:pos="709"/>
        </w:tabs>
        <w:ind w:left="709" w:hanging="567"/>
      </w:pPr>
      <w:rPr>
        <w:rFonts w:asciiTheme="minorHAnsi" w:hAnsiTheme="minorHAnsi" w:cs="Times New Roman" w:hint="default"/>
        <w:b w:val="0"/>
        <w:i w:val="0"/>
        <w:color w:val="auto"/>
        <w:sz w:val="20"/>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121B29"/>
    <w:multiLevelType w:val="hybridMultilevel"/>
    <w:tmpl w:val="9D22A5B0"/>
    <w:lvl w:ilvl="0" w:tplc="B5E24404">
      <w:numFmt w:val="bullet"/>
      <w:lvlText w:val="-"/>
      <w:lvlJc w:val="left"/>
      <w:pPr>
        <w:ind w:left="1647" w:hanging="360"/>
      </w:pPr>
      <w:rPr>
        <w:rFonts w:ascii="Calibri" w:eastAsiaTheme="minorHAnsi" w:hAnsi="Calibri" w:cs="Calibri"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31" w15:restartNumberingAfterBreak="0">
    <w:nsid w:val="48D02371"/>
    <w:multiLevelType w:val="hybridMultilevel"/>
    <w:tmpl w:val="3CBC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9B44317"/>
    <w:multiLevelType w:val="hybridMultilevel"/>
    <w:tmpl w:val="320EC25A"/>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733564"/>
    <w:multiLevelType w:val="hybridMultilevel"/>
    <w:tmpl w:val="F4E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9F64D6"/>
    <w:multiLevelType w:val="hybridMultilevel"/>
    <w:tmpl w:val="93C6ACE2"/>
    <w:lvl w:ilvl="0" w:tplc="9E8249EE">
      <w:start w:val="1"/>
      <w:numFmt w:val="lowerRoman"/>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5" w15:restartNumberingAfterBreak="0">
    <w:nsid w:val="4F227FCC"/>
    <w:multiLevelType w:val="hybridMultilevel"/>
    <w:tmpl w:val="25D23592"/>
    <w:lvl w:ilvl="0" w:tplc="B5A8976C">
      <w:numFmt w:val="bullet"/>
      <w:lvlText w:val="-"/>
      <w:lvlJc w:val="left"/>
      <w:pPr>
        <w:ind w:left="1800" w:hanging="360"/>
      </w:pPr>
      <w:rPr>
        <w:rFonts w:ascii="Arial Narrow" w:eastAsiaTheme="minorHAnsi" w:hAnsi="Arial Narrow"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4FF372F8"/>
    <w:multiLevelType w:val="hybridMultilevel"/>
    <w:tmpl w:val="83DE6472"/>
    <w:lvl w:ilvl="0" w:tplc="3FE804E0">
      <w:start w:val="2"/>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028593E"/>
    <w:multiLevelType w:val="hybridMultilevel"/>
    <w:tmpl w:val="B80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06B67"/>
    <w:multiLevelType w:val="hybridMultilevel"/>
    <w:tmpl w:val="7382A85A"/>
    <w:lvl w:ilvl="0" w:tplc="F198D834">
      <w:start w:val="1"/>
      <w:numFmt w:val="decimal"/>
      <w:lvlText w:val="%1."/>
      <w:lvlJc w:val="left"/>
      <w:pPr>
        <w:tabs>
          <w:tab w:val="num" w:pos="567"/>
        </w:tabs>
        <w:ind w:left="567" w:hanging="567"/>
      </w:pPr>
      <w:rPr>
        <w:rFonts w:asciiTheme="minorHAnsi" w:hAnsiTheme="minorHAnsi" w:cs="Times New Roman" w:hint="default"/>
        <w:b w:val="0"/>
        <w:i w:val="0"/>
        <w:color w:val="auto"/>
        <w:sz w:val="24"/>
        <w:szCs w:val="24"/>
        <w:lang w:val="fr-FR"/>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20250A"/>
    <w:multiLevelType w:val="hybridMultilevel"/>
    <w:tmpl w:val="E13A0628"/>
    <w:lvl w:ilvl="0" w:tplc="DA36DC0E">
      <w:start w:val="1"/>
      <w:numFmt w:val="decimal"/>
      <w:lvlText w:val="%1."/>
      <w:lvlJc w:val="left"/>
      <w:pPr>
        <w:tabs>
          <w:tab w:val="num" w:pos="720"/>
        </w:tabs>
        <w:ind w:left="720" w:hanging="360"/>
      </w:pPr>
      <w:rPr>
        <w:rFonts w:cs="Times New Roman" w:hint="default"/>
        <w:b/>
      </w:rPr>
    </w:lvl>
    <w:lvl w:ilvl="1" w:tplc="6FFA3B9A">
      <w:start w:val="1"/>
      <w:numFmt w:val="upperLetter"/>
      <w:lvlText w:val="%2."/>
      <w:lvlJc w:val="left"/>
      <w:pPr>
        <w:tabs>
          <w:tab w:val="num" w:pos="1440"/>
        </w:tabs>
        <w:ind w:left="1440" w:hanging="360"/>
      </w:pPr>
      <w:rPr>
        <w:rFonts w:cs="Times New Roman" w:hint="default"/>
      </w:rPr>
    </w:lvl>
    <w:lvl w:ilvl="2" w:tplc="2F2AB79C">
      <w:start w:val="1"/>
      <w:numFmt w:val="lowerLetter"/>
      <w:lvlText w:val="%3)"/>
      <w:lvlJc w:val="left"/>
      <w:pPr>
        <w:tabs>
          <w:tab w:val="num" w:pos="474"/>
        </w:tabs>
        <w:ind w:left="474" w:hanging="360"/>
      </w:pPr>
      <w:rPr>
        <w:rFonts w:cs="Times New Roman" w:hint="default"/>
        <w:i w:val="0"/>
      </w:rPr>
    </w:lvl>
    <w:lvl w:ilvl="3" w:tplc="0409000F">
      <w:start w:val="1"/>
      <w:numFmt w:val="decimal"/>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D62714"/>
    <w:multiLevelType w:val="hybridMultilevel"/>
    <w:tmpl w:val="F5EE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0198A"/>
    <w:multiLevelType w:val="hybridMultilevel"/>
    <w:tmpl w:val="9948E92C"/>
    <w:lvl w:ilvl="0" w:tplc="4C14F6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114F8"/>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5F405B7B"/>
    <w:multiLevelType w:val="hybridMultilevel"/>
    <w:tmpl w:val="B5BC7E9C"/>
    <w:lvl w:ilvl="0" w:tplc="056EB00E">
      <w:start w:val="1"/>
      <w:numFmt w:val="lowerLetter"/>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44" w15:restartNumberingAfterBreak="0">
    <w:nsid w:val="647C34A0"/>
    <w:multiLevelType w:val="hybridMultilevel"/>
    <w:tmpl w:val="1F5A2E76"/>
    <w:lvl w:ilvl="0" w:tplc="A62213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36469"/>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B37D6"/>
    <w:multiLevelType w:val="hybridMultilevel"/>
    <w:tmpl w:val="26AA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F618F"/>
    <w:multiLevelType w:val="hybridMultilevel"/>
    <w:tmpl w:val="BDE6B08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8"/>
  </w:num>
  <w:num w:numId="2">
    <w:abstractNumId w:val="32"/>
  </w:num>
  <w:num w:numId="3">
    <w:abstractNumId w:val="27"/>
  </w:num>
  <w:num w:numId="4">
    <w:abstractNumId w:val="4"/>
  </w:num>
  <w:num w:numId="5">
    <w:abstractNumId w:val="5"/>
  </w:num>
  <w:num w:numId="6">
    <w:abstractNumId w:val="33"/>
  </w:num>
  <w:num w:numId="7">
    <w:abstractNumId w:val="29"/>
  </w:num>
  <w:num w:numId="8">
    <w:abstractNumId w:val="45"/>
  </w:num>
  <w:num w:numId="9">
    <w:abstractNumId w:val="26"/>
  </w:num>
  <w:num w:numId="10">
    <w:abstractNumId w:val="1"/>
  </w:num>
  <w:num w:numId="11">
    <w:abstractNumId w:val="0"/>
  </w:num>
  <w:num w:numId="12">
    <w:abstractNumId w:val="46"/>
  </w:num>
  <w:num w:numId="13">
    <w:abstractNumId w:val="40"/>
  </w:num>
  <w:num w:numId="14">
    <w:abstractNumId w:val="36"/>
  </w:num>
  <w:num w:numId="15">
    <w:abstractNumId w:val="3"/>
  </w:num>
  <w:num w:numId="16">
    <w:abstractNumId w:val="7"/>
  </w:num>
  <w:num w:numId="17">
    <w:abstractNumId w:val="30"/>
  </w:num>
  <w:num w:numId="18">
    <w:abstractNumId w:val="22"/>
  </w:num>
  <w:num w:numId="19">
    <w:abstractNumId w:val="15"/>
  </w:num>
  <w:num w:numId="20">
    <w:abstractNumId w:val="39"/>
  </w:num>
  <w:num w:numId="21">
    <w:abstractNumId w:val="31"/>
  </w:num>
  <w:num w:numId="22">
    <w:abstractNumId w:val="20"/>
  </w:num>
  <w:num w:numId="23">
    <w:abstractNumId w:val="13"/>
  </w:num>
  <w:num w:numId="24">
    <w:abstractNumId w:val="47"/>
  </w:num>
  <w:num w:numId="25">
    <w:abstractNumId w:val="12"/>
  </w:num>
  <w:num w:numId="26">
    <w:abstractNumId w:val="37"/>
  </w:num>
  <w:num w:numId="27">
    <w:abstractNumId w:val="23"/>
  </w:num>
  <w:num w:numId="28">
    <w:abstractNumId w:val="14"/>
  </w:num>
  <w:num w:numId="29">
    <w:abstractNumId w:val="34"/>
  </w:num>
  <w:num w:numId="30">
    <w:abstractNumId w:val="9"/>
  </w:num>
  <w:num w:numId="31">
    <w:abstractNumId w:val="25"/>
  </w:num>
  <w:num w:numId="32">
    <w:abstractNumId w:val="41"/>
  </w:num>
  <w:num w:numId="33">
    <w:abstractNumId w:val="44"/>
  </w:num>
  <w:num w:numId="34">
    <w:abstractNumId w:val="3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9"/>
  </w:num>
  <w:num w:numId="38">
    <w:abstractNumId w:val="42"/>
  </w:num>
  <w:num w:numId="39">
    <w:abstractNumId w:val="6"/>
  </w:num>
  <w:num w:numId="40">
    <w:abstractNumId w:val="18"/>
  </w:num>
  <w:num w:numId="41">
    <w:abstractNumId w:val="24"/>
  </w:num>
  <w:num w:numId="42">
    <w:abstractNumId w:val="43"/>
  </w:num>
  <w:num w:numId="43">
    <w:abstractNumId w:val="11"/>
  </w:num>
  <w:num w:numId="44">
    <w:abstractNumId w:val="28"/>
  </w:num>
  <w:num w:numId="45">
    <w:abstractNumId w:val="35"/>
  </w:num>
  <w:num w:numId="46">
    <w:abstractNumId w:val="21"/>
  </w:num>
  <w:num w:numId="47">
    <w:abstractNumId w:val="8"/>
  </w:num>
  <w:num w:numId="48">
    <w:abstractNumId w:val="2"/>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3F"/>
    <w:rsid w:val="0000001F"/>
    <w:rsid w:val="00000251"/>
    <w:rsid w:val="000010FF"/>
    <w:rsid w:val="00002870"/>
    <w:rsid w:val="00002BDF"/>
    <w:rsid w:val="000030BD"/>
    <w:rsid w:val="000034EE"/>
    <w:rsid w:val="00003AE9"/>
    <w:rsid w:val="00003B73"/>
    <w:rsid w:val="00004B2B"/>
    <w:rsid w:val="00004F73"/>
    <w:rsid w:val="000058CC"/>
    <w:rsid w:val="00006695"/>
    <w:rsid w:val="00006B6C"/>
    <w:rsid w:val="00006F34"/>
    <w:rsid w:val="00011430"/>
    <w:rsid w:val="000126A8"/>
    <w:rsid w:val="000131BA"/>
    <w:rsid w:val="00013209"/>
    <w:rsid w:val="00014507"/>
    <w:rsid w:val="00014B07"/>
    <w:rsid w:val="00014CEE"/>
    <w:rsid w:val="000153D9"/>
    <w:rsid w:val="00016984"/>
    <w:rsid w:val="0001793D"/>
    <w:rsid w:val="00017F31"/>
    <w:rsid w:val="00020175"/>
    <w:rsid w:val="00020B44"/>
    <w:rsid w:val="0002163E"/>
    <w:rsid w:val="00021D4B"/>
    <w:rsid w:val="00021F9D"/>
    <w:rsid w:val="000238AF"/>
    <w:rsid w:val="000251F2"/>
    <w:rsid w:val="000253FA"/>
    <w:rsid w:val="00027297"/>
    <w:rsid w:val="000310FE"/>
    <w:rsid w:val="00031E74"/>
    <w:rsid w:val="000324C1"/>
    <w:rsid w:val="000325D9"/>
    <w:rsid w:val="0003265D"/>
    <w:rsid w:val="0003300F"/>
    <w:rsid w:val="00033E2A"/>
    <w:rsid w:val="00034262"/>
    <w:rsid w:val="000356A7"/>
    <w:rsid w:val="0004012B"/>
    <w:rsid w:val="00040147"/>
    <w:rsid w:val="0004029C"/>
    <w:rsid w:val="0004074A"/>
    <w:rsid w:val="00040C02"/>
    <w:rsid w:val="000424DB"/>
    <w:rsid w:val="00042FFF"/>
    <w:rsid w:val="00043DBB"/>
    <w:rsid w:val="00045786"/>
    <w:rsid w:val="00045CF1"/>
    <w:rsid w:val="00045D23"/>
    <w:rsid w:val="00046379"/>
    <w:rsid w:val="000469EF"/>
    <w:rsid w:val="00046C69"/>
    <w:rsid w:val="0005001C"/>
    <w:rsid w:val="000505ED"/>
    <w:rsid w:val="000527A2"/>
    <w:rsid w:val="000532CE"/>
    <w:rsid w:val="00053373"/>
    <w:rsid w:val="000538D3"/>
    <w:rsid w:val="00054466"/>
    <w:rsid w:val="00054E14"/>
    <w:rsid w:val="0005503C"/>
    <w:rsid w:val="00056532"/>
    <w:rsid w:val="0005669E"/>
    <w:rsid w:val="00056883"/>
    <w:rsid w:val="00056A76"/>
    <w:rsid w:val="00056D6A"/>
    <w:rsid w:val="00056FAB"/>
    <w:rsid w:val="0005760B"/>
    <w:rsid w:val="00057CC6"/>
    <w:rsid w:val="000618DB"/>
    <w:rsid w:val="00061FA4"/>
    <w:rsid w:val="00062F8F"/>
    <w:rsid w:val="00063A3D"/>
    <w:rsid w:val="00063D0F"/>
    <w:rsid w:val="0006478F"/>
    <w:rsid w:val="00065CAC"/>
    <w:rsid w:val="00066809"/>
    <w:rsid w:val="00066A04"/>
    <w:rsid w:val="00066D58"/>
    <w:rsid w:val="000670EB"/>
    <w:rsid w:val="000676B7"/>
    <w:rsid w:val="00070462"/>
    <w:rsid w:val="0007082A"/>
    <w:rsid w:val="00070B18"/>
    <w:rsid w:val="00071D15"/>
    <w:rsid w:val="00072017"/>
    <w:rsid w:val="0007220F"/>
    <w:rsid w:val="00072D10"/>
    <w:rsid w:val="00074A84"/>
    <w:rsid w:val="00074B4A"/>
    <w:rsid w:val="00074F7A"/>
    <w:rsid w:val="00074F96"/>
    <w:rsid w:val="00075D0D"/>
    <w:rsid w:val="00076012"/>
    <w:rsid w:val="00076548"/>
    <w:rsid w:val="0007667C"/>
    <w:rsid w:val="00076B03"/>
    <w:rsid w:val="00077C57"/>
    <w:rsid w:val="000803B0"/>
    <w:rsid w:val="00080DDD"/>
    <w:rsid w:val="0008108E"/>
    <w:rsid w:val="0008152C"/>
    <w:rsid w:val="000820F1"/>
    <w:rsid w:val="0008272B"/>
    <w:rsid w:val="000831F9"/>
    <w:rsid w:val="00083979"/>
    <w:rsid w:val="00083F4C"/>
    <w:rsid w:val="00084089"/>
    <w:rsid w:val="00084B9E"/>
    <w:rsid w:val="000857BB"/>
    <w:rsid w:val="00086AAC"/>
    <w:rsid w:val="00090616"/>
    <w:rsid w:val="0009124B"/>
    <w:rsid w:val="00091D40"/>
    <w:rsid w:val="00091E61"/>
    <w:rsid w:val="000924D4"/>
    <w:rsid w:val="00093582"/>
    <w:rsid w:val="00096242"/>
    <w:rsid w:val="000971E5"/>
    <w:rsid w:val="000973F5"/>
    <w:rsid w:val="0009793B"/>
    <w:rsid w:val="00097EA7"/>
    <w:rsid w:val="000A027A"/>
    <w:rsid w:val="000A06A0"/>
    <w:rsid w:val="000A08B7"/>
    <w:rsid w:val="000A0F38"/>
    <w:rsid w:val="000A147A"/>
    <w:rsid w:val="000A379D"/>
    <w:rsid w:val="000A4146"/>
    <w:rsid w:val="000A4862"/>
    <w:rsid w:val="000A5C7E"/>
    <w:rsid w:val="000A5CCA"/>
    <w:rsid w:val="000A605A"/>
    <w:rsid w:val="000A7B17"/>
    <w:rsid w:val="000B038E"/>
    <w:rsid w:val="000B0EB0"/>
    <w:rsid w:val="000B139E"/>
    <w:rsid w:val="000B25FF"/>
    <w:rsid w:val="000B2AE9"/>
    <w:rsid w:val="000B34DF"/>
    <w:rsid w:val="000B3D38"/>
    <w:rsid w:val="000B4A1B"/>
    <w:rsid w:val="000B4BDD"/>
    <w:rsid w:val="000B4D20"/>
    <w:rsid w:val="000B4D69"/>
    <w:rsid w:val="000B5570"/>
    <w:rsid w:val="000B582A"/>
    <w:rsid w:val="000B61DF"/>
    <w:rsid w:val="000C14C9"/>
    <w:rsid w:val="000C1D53"/>
    <w:rsid w:val="000C377B"/>
    <w:rsid w:val="000C37C7"/>
    <w:rsid w:val="000C38B4"/>
    <w:rsid w:val="000C478B"/>
    <w:rsid w:val="000C5297"/>
    <w:rsid w:val="000C6289"/>
    <w:rsid w:val="000C6EE7"/>
    <w:rsid w:val="000D1075"/>
    <w:rsid w:val="000D13B7"/>
    <w:rsid w:val="000D1EC3"/>
    <w:rsid w:val="000D1F3D"/>
    <w:rsid w:val="000D241B"/>
    <w:rsid w:val="000D3500"/>
    <w:rsid w:val="000D38C1"/>
    <w:rsid w:val="000D4F92"/>
    <w:rsid w:val="000D54E4"/>
    <w:rsid w:val="000D562D"/>
    <w:rsid w:val="000D5EF3"/>
    <w:rsid w:val="000D695D"/>
    <w:rsid w:val="000D69D9"/>
    <w:rsid w:val="000D6DEC"/>
    <w:rsid w:val="000D7FC9"/>
    <w:rsid w:val="000E0964"/>
    <w:rsid w:val="000E2E1B"/>
    <w:rsid w:val="000E307A"/>
    <w:rsid w:val="000E5C3E"/>
    <w:rsid w:val="000E6CB2"/>
    <w:rsid w:val="000F04AC"/>
    <w:rsid w:val="000F17FF"/>
    <w:rsid w:val="000F1D10"/>
    <w:rsid w:val="000F35D9"/>
    <w:rsid w:val="000F5703"/>
    <w:rsid w:val="000F7A8F"/>
    <w:rsid w:val="000F7CFA"/>
    <w:rsid w:val="0010115C"/>
    <w:rsid w:val="00102C35"/>
    <w:rsid w:val="001038F0"/>
    <w:rsid w:val="00103C1F"/>
    <w:rsid w:val="00103F0F"/>
    <w:rsid w:val="00104363"/>
    <w:rsid w:val="00105758"/>
    <w:rsid w:val="00106486"/>
    <w:rsid w:val="0010661B"/>
    <w:rsid w:val="00106DF5"/>
    <w:rsid w:val="00110461"/>
    <w:rsid w:val="0011069E"/>
    <w:rsid w:val="00110734"/>
    <w:rsid w:val="00110788"/>
    <w:rsid w:val="00110E0C"/>
    <w:rsid w:val="001114CC"/>
    <w:rsid w:val="00111758"/>
    <w:rsid w:val="00112902"/>
    <w:rsid w:val="00114288"/>
    <w:rsid w:val="001144CA"/>
    <w:rsid w:val="00115180"/>
    <w:rsid w:val="001151A7"/>
    <w:rsid w:val="001154C1"/>
    <w:rsid w:val="00115B0B"/>
    <w:rsid w:val="00116969"/>
    <w:rsid w:val="0011717A"/>
    <w:rsid w:val="00120017"/>
    <w:rsid w:val="00121F2F"/>
    <w:rsid w:val="001226CC"/>
    <w:rsid w:val="00123127"/>
    <w:rsid w:val="00123180"/>
    <w:rsid w:val="001246E3"/>
    <w:rsid w:val="00124745"/>
    <w:rsid w:val="00125962"/>
    <w:rsid w:val="00125A55"/>
    <w:rsid w:val="00125E41"/>
    <w:rsid w:val="00126138"/>
    <w:rsid w:val="00127B27"/>
    <w:rsid w:val="00130394"/>
    <w:rsid w:val="00130B03"/>
    <w:rsid w:val="00130CC3"/>
    <w:rsid w:val="00130F39"/>
    <w:rsid w:val="00131497"/>
    <w:rsid w:val="00131F66"/>
    <w:rsid w:val="00131F6A"/>
    <w:rsid w:val="001325E7"/>
    <w:rsid w:val="0013272C"/>
    <w:rsid w:val="00132F68"/>
    <w:rsid w:val="001333B0"/>
    <w:rsid w:val="00133B4E"/>
    <w:rsid w:val="0013465E"/>
    <w:rsid w:val="001358C0"/>
    <w:rsid w:val="00136190"/>
    <w:rsid w:val="00136651"/>
    <w:rsid w:val="001368CE"/>
    <w:rsid w:val="00136E36"/>
    <w:rsid w:val="0013721F"/>
    <w:rsid w:val="00137F63"/>
    <w:rsid w:val="00140D41"/>
    <w:rsid w:val="0014121B"/>
    <w:rsid w:val="00141A4C"/>
    <w:rsid w:val="0014402E"/>
    <w:rsid w:val="0014514B"/>
    <w:rsid w:val="001466B6"/>
    <w:rsid w:val="00146A92"/>
    <w:rsid w:val="00146C87"/>
    <w:rsid w:val="00147299"/>
    <w:rsid w:val="00147EB0"/>
    <w:rsid w:val="001533B7"/>
    <w:rsid w:val="001546CC"/>
    <w:rsid w:val="0015585B"/>
    <w:rsid w:val="001558D1"/>
    <w:rsid w:val="00156451"/>
    <w:rsid w:val="0015688F"/>
    <w:rsid w:val="00156D8D"/>
    <w:rsid w:val="00156E98"/>
    <w:rsid w:val="00157A25"/>
    <w:rsid w:val="00161CEE"/>
    <w:rsid w:val="00162073"/>
    <w:rsid w:val="001621EB"/>
    <w:rsid w:val="001636C9"/>
    <w:rsid w:val="00163773"/>
    <w:rsid w:val="00164577"/>
    <w:rsid w:val="001646B0"/>
    <w:rsid w:val="0016485C"/>
    <w:rsid w:val="0016496C"/>
    <w:rsid w:val="00164E9A"/>
    <w:rsid w:val="00165336"/>
    <w:rsid w:val="001661FD"/>
    <w:rsid w:val="00166374"/>
    <w:rsid w:val="00166B96"/>
    <w:rsid w:val="001677A7"/>
    <w:rsid w:val="00170437"/>
    <w:rsid w:val="00173FDF"/>
    <w:rsid w:val="00174189"/>
    <w:rsid w:val="00174AB0"/>
    <w:rsid w:val="00176509"/>
    <w:rsid w:val="001775A7"/>
    <w:rsid w:val="00177723"/>
    <w:rsid w:val="00177A66"/>
    <w:rsid w:val="00177DF7"/>
    <w:rsid w:val="00181CCD"/>
    <w:rsid w:val="00182274"/>
    <w:rsid w:val="0018236B"/>
    <w:rsid w:val="00182834"/>
    <w:rsid w:val="00182A53"/>
    <w:rsid w:val="001843BA"/>
    <w:rsid w:val="00184EE5"/>
    <w:rsid w:val="00185501"/>
    <w:rsid w:val="001863FB"/>
    <w:rsid w:val="00186688"/>
    <w:rsid w:val="00186ECA"/>
    <w:rsid w:val="001878CC"/>
    <w:rsid w:val="0019061B"/>
    <w:rsid w:val="001906E3"/>
    <w:rsid w:val="00191603"/>
    <w:rsid w:val="00192244"/>
    <w:rsid w:val="0019274D"/>
    <w:rsid w:val="001930C1"/>
    <w:rsid w:val="0019338F"/>
    <w:rsid w:val="001936FD"/>
    <w:rsid w:val="00194A8F"/>
    <w:rsid w:val="00194C3C"/>
    <w:rsid w:val="00194FDC"/>
    <w:rsid w:val="00196751"/>
    <w:rsid w:val="001969B3"/>
    <w:rsid w:val="00197951"/>
    <w:rsid w:val="001A0C4C"/>
    <w:rsid w:val="001A0FB2"/>
    <w:rsid w:val="001A12E9"/>
    <w:rsid w:val="001A2238"/>
    <w:rsid w:val="001A2DAC"/>
    <w:rsid w:val="001A47E0"/>
    <w:rsid w:val="001A689F"/>
    <w:rsid w:val="001A6B10"/>
    <w:rsid w:val="001A75E9"/>
    <w:rsid w:val="001A77C2"/>
    <w:rsid w:val="001A7A4E"/>
    <w:rsid w:val="001B006F"/>
    <w:rsid w:val="001B2492"/>
    <w:rsid w:val="001B26AA"/>
    <w:rsid w:val="001B3098"/>
    <w:rsid w:val="001B36AD"/>
    <w:rsid w:val="001B37EF"/>
    <w:rsid w:val="001B527B"/>
    <w:rsid w:val="001B5789"/>
    <w:rsid w:val="001B616F"/>
    <w:rsid w:val="001B667E"/>
    <w:rsid w:val="001B69E2"/>
    <w:rsid w:val="001B6B76"/>
    <w:rsid w:val="001C0239"/>
    <w:rsid w:val="001C0452"/>
    <w:rsid w:val="001C0EB6"/>
    <w:rsid w:val="001C2110"/>
    <w:rsid w:val="001C288E"/>
    <w:rsid w:val="001C391E"/>
    <w:rsid w:val="001C5280"/>
    <w:rsid w:val="001C6C86"/>
    <w:rsid w:val="001D071F"/>
    <w:rsid w:val="001D0D12"/>
    <w:rsid w:val="001D1D1C"/>
    <w:rsid w:val="001D5476"/>
    <w:rsid w:val="001D5833"/>
    <w:rsid w:val="001D5F32"/>
    <w:rsid w:val="001D60AC"/>
    <w:rsid w:val="001D61A6"/>
    <w:rsid w:val="001D62EB"/>
    <w:rsid w:val="001D6804"/>
    <w:rsid w:val="001E07B7"/>
    <w:rsid w:val="001E0C09"/>
    <w:rsid w:val="001E0F0A"/>
    <w:rsid w:val="001E14E3"/>
    <w:rsid w:val="001E1A6C"/>
    <w:rsid w:val="001E298D"/>
    <w:rsid w:val="001E2CA0"/>
    <w:rsid w:val="001E40C4"/>
    <w:rsid w:val="001E572C"/>
    <w:rsid w:val="001E71B6"/>
    <w:rsid w:val="001F00F6"/>
    <w:rsid w:val="001F0162"/>
    <w:rsid w:val="001F17E2"/>
    <w:rsid w:val="001F244B"/>
    <w:rsid w:val="001F2636"/>
    <w:rsid w:val="001F2B6A"/>
    <w:rsid w:val="001F3349"/>
    <w:rsid w:val="001F357F"/>
    <w:rsid w:val="001F4DA9"/>
    <w:rsid w:val="001F69EC"/>
    <w:rsid w:val="001F6DD9"/>
    <w:rsid w:val="001F7C9D"/>
    <w:rsid w:val="001F7E6A"/>
    <w:rsid w:val="00200012"/>
    <w:rsid w:val="002018B6"/>
    <w:rsid w:val="00202EE9"/>
    <w:rsid w:val="00204208"/>
    <w:rsid w:val="00204CC8"/>
    <w:rsid w:val="002061C5"/>
    <w:rsid w:val="00206B24"/>
    <w:rsid w:val="00207969"/>
    <w:rsid w:val="00207D7D"/>
    <w:rsid w:val="00210814"/>
    <w:rsid w:val="00211A8E"/>
    <w:rsid w:val="00211C3F"/>
    <w:rsid w:val="00212186"/>
    <w:rsid w:val="00214BDE"/>
    <w:rsid w:val="002150CB"/>
    <w:rsid w:val="00215ED1"/>
    <w:rsid w:val="00216B8D"/>
    <w:rsid w:val="0021756E"/>
    <w:rsid w:val="00217956"/>
    <w:rsid w:val="00217DCB"/>
    <w:rsid w:val="002205B9"/>
    <w:rsid w:val="00220A2F"/>
    <w:rsid w:val="00221266"/>
    <w:rsid w:val="0022272C"/>
    <w:rsid w:val="002229B9"/>
    <w:rsid w:val="00222B46"/>
    <w:rsid w:val="00224139"/>
    <w:rsid w:val="00224DDC"/>
    <w:rsid w:val="00224E0D"/>
    <w:rsid w:val="00224EC7"/>
    <w:rsid w:val="00225588"/>
    <w:rsid w:val="00225815"/>
    <w:rsid w:val="00226176"/>
    <w:rsid w:val="00227562"/>
    <w:rsid w:val="00227A7D"/>
    <w:rsid w:val="002303D1"/>
    <w:rsid w:val="00230F7E"/>
    <w:rsid w:val="00231F31"/>
    <w:rsid w:val="00232108"/>
    <w:rsid w:val="00232E9E"/>
    <w:rsid w:val="00233F53"/>
    <w:rsid w:val="002363D2"/>
    <w:rsid w:val="00240E8E"/>
    <w:rsid w:val="002415C7"/>
    <w:rsid w:val="002417F7"/>
    <w:rsid w:val="00241C3B"/>
    <w:rsid w:val="00241D15"/>
    <w:rsid w:val="00241EDC"/>
    <w:rsid w:val="00242182"/>
    <w:rsid w:val="00242D38"/>
    <w:rsid w:val="0024427D"/>
    <w:rsid w:val="00245A36"/>
    <w:rsid w:val="00246AB2"/>
    <w:rsid w:val="002475BF"/>
    <w:rsid w:val="00250CEB"/>
    <w:rsid w:val="002512F2"/>
    <w:rsid w:val="0025188A"/>
    <w:rsid w:val="002520D1"/>
    <w:rsid w:val="002532CC"/>
    <w:rsid w:val="002535BE"/>
    <w:rsid w:val="00256D72"/>
    <w:rsid w:val="00257789"/>
    <w:rsid w:val="002602E7"/>
    <w:rsid w:val="002608C7"/>
    <w:rsid w:val="0026121A"/>
    <w:rsid w:val="00261A14"/>
    <w:rsid w:val="00261A78"/>
    <w:rsid w:val="002620AC"/>
    <w:rsid w:val="002632FA"/>
    <w:rsid w:val="002637FC"/>
    <w:rsid w:val="0026554C"/>
    <w:rsid w:val="002657DB"/>
    <w:rsid w:val="00265F32"/>
    <w:rsid w:val="00266383"/>
    <w:rsid w:val="002701D6"/>
    <w:rsid w:val="002704A3"/>
    <w:rsid w:val="00270D8B"/>
    <w:rsid w:val="00273D01"/>
    <w:rsid w:val="002742FC"/>
    <w:rsid w:val="00274D6A"/>
    <w:rsid w:val="002764E5"/>
    <w:rsid w:val="0027674F"/>
    <w:rsid w:val="00276BFC"/>
    <w:rsid w:val="00277225"/>
    <w:rsid w:val="00281BD4"/>
    <w:rsid w:val="00281FC5"/>
    <w:rsid w:val="00283636"/>
    <w:rsid w:val="00283924"/>
    <w:rsid w:val="00283C5A"/>
    <w:rsid w:val="00283E8D"/>
    <w:rsid w:val="00284DE2"/>
    <w:rsid w:val="00291FE5"/>
    <w:rsid w:val="002929FF"/>
    <w:rsid w:val="00293BEA"/>
    <w:rsid w:val="002943A3"/>
    <w:rsid w:val="002955DA"/>
    <w:rsid w:val="00295C1A"/>
    <w:rsid w:val="002970E9"/>
    <w:rsid w:val="00297A03"/>
    <w:rsid w:val="002A03EA"/>
    <w:rsid w:val="002A1C17"/>
    <w:rsid w:val="002A342E"/>
    <w:rsid w:val="002A36B9"/>
    <w:rsid w:val="002A3ECB"/>
    <w:rsid w:val="002A4BD5"/>
    <w:rsid w:val="002A522B"/>
    <w:rsid w:val="002A5308"/>
    <w:rsid w:val="002A54BE"/>
    <w:rsid w:val="002A68A6"/>
    <w:rsid w:val="002A7197"/>
    <w:rsid w:val="002A73EB"/>
    <w:rsid w:val="002B08C5"/>
    <w:rsid w:val="002B0EF4"/>
    <w:rsid w:val="002B1F61"/>
    <w:rsid w:val="002B3D0E"/>
    <w:rsid w:val="002B609A"/>
    <w:rsid w:val="002B680B"/>
    <w:rsid w:val="002B6AAA"/>
    <w:rsid w:val="002B6B83"/>
    <w:rsid w:val="002B77F8"/>
    <w:rsid w:val="002C03C5"/>
    <w:rsid w:val="002C172E"/>
    <w:rsid w:val="002C2D1B"/>
    <w:rsid w:val="002C3560"/>
    <w:rsid w:val="002C4A5F"/>
    <w:rsid w:val="002C4B5A"/>
    <w:rsid w:val="002C5245"/>
    <w:rsid w:val="002C554C"/>
    <w:rsid w:val="002C57FB"/>
    <w:rsid w:val="002C624E"/>
    <w:rsid w:val="002C6A8C"/>
    <w:rsid w:val="002C6D01"/>
    <w:rsid w:val="002C6D99"/>
    <w:rsid w:val="002C731C"/>
    <w:rsid w:val="002C7AA3"/>
    <w:rsid w:val="002C7C81"/>
    <w:rsid w:val="002D1123"/>
    <w:rsid w:val="002D1E2C"/>
    <w:rsid w:val="002D28A5"/>
    <w:rsid w:val="002D326F"/>
    <w:rsid w:val="002D3328"/>
    <w:rsid w:val="002D37C1"/>
    <w:rsid w:val="002D3DBF"/>
    <w:rsid w:val="002D53B5"/>
    <w:rsid w:val="002D5B71"/>
    <w:rsid w:val="002D5FFA"/>
    <w:rsid w:val="002D6275"/>
    <w:rsid w:val="002D6B2D"/>
    <w:rsid w:val="002D7EFF"/>
    <w:rsid w:val="002D7F1A"/>
    <w:rsid w:val="002E17FC"/>
    <w:rsid w:val="002E1F36"/>
    <w:rsid w:val="002E2112"/>
    <w:rsid w:val="002E2403"/>
    <w:rsid w:val="002E25F9"/>
    <w:rsid w:val="002E2E6D"/>
    <w:rsid w:val="002E3094"/>
    <w:rsid w:val="002E3144"/>
    <w:rsid w:val="002E54B7"/>
    <w:rsid w:val="002E59F6"/>
    <w:rsid w:val="002E5B22"/>
    <w:rsid w:val="002E5BDA"/>
    <w:rsid w:val="002E610A"/>
    <w:rsid w:val="002E6F60"/>
    <w:rsid w:val="002F0006"/>
    <w:rsid w:val="002F1326"/>
    <w:rsid w:val="002F13D2"/>
    <w:rsid w:val="002F16FC"/>
    <w:rsid w:val="002F25F6"/>
    <w:rsid w:val="002F28EB"/>
    <w:rsid w:val="002F3049"/>
    <w:rsid w:val="002F3287"/>
    <w:rsid w:val="002F353C"/>
    <w:rsid w:val="002F372B"/>
    <w:rsid w:val="002F3C70"/>
    <w:rsid w:val="002F43EE"/>
    <w:rsid w:val="002F4D6D"/>
    <w:rsid w:val="002F4DF7"/>
    <w:rsid w:val="002F6E31"/>
    <w:rsid w:val="003011CC"/>
    <w:rsid w:val="0030138A"/>
    <w:rsid w:val="00301451"/>
    <w:rsid w:val="00301A27"/>
    <w:rsid w:val="003027ED"/>
    <w:rsid w:val="003028FE"/>
    <w:rsid w:val="00303B7F"/>
    <w:rsid w:val="003061CD"/>
    <w:rsid w:val="0030683F"/>
    <w:rsid w:val="00310C21"/>
    <w:rsid w:val="00310D3B"/>
    <w:rsid w:val="00311CE8"/>
    <w:rsid w:val="003128F8"/>
    <w:rsid w:val="00312C09"/>
    <w:rsid w:val="00313397"/>
    <w:rsid w:val="0031374D"/>
    <w:rsid w:val="00313937"/>
    <w:rsid w:val="00313B89"/>
    <w:rsid w:val="003169FA"/>
    <w:rsid w:val="00316A72"/>
    <w:rsid w:val="00317B52"/>
    <w:rsid w:val="00320573"/>
    <w:rsid w:val="0032094E"/>
    <w:rsid w:val="00320956"/>
    <w:rsid w:val="003209AC"/>
    <w:rsid w:val="00322480"/>
    <w:rsid w:val="00322497"/>
    <w:rsid w:val="003237DE"/>
    <w:rsid w:val="003260FD"/>
    <w:rsid w:val="0032756A"/>
    <w:rsid w:val="00327877"/>
    <w:rsid w:val="003279C9"/>
    <w:rsid w:val="0033012C"/>
    <w:rsid w:val="00330B3E"/>
    <w:rsid w:val="00330EAB"/>
    <w:rsid w:val="00331B0E"/>
    <w:rsid w:val="003323D8"/>
    <w:rsid w:val="003332CD"/>
    <w:rsid w:val="003334F7"/>
    <w:rsid w:val="00334C15"/>
    <w:rsid w:val="00334CAC"/>
    <w:rsid w:val="00335A27"/>
    <w:rsid w:val="003378C8"/>
    <w:rsid w:val="003400C5"/>
    <w:rsid w:val="003401D6"/>
    <w:rsid w:val="0034052D"/>
    <w:rsid w:val="003417D3"/>
    <w:rsid w:val="003422DF"/>
    <w:rsid w:val="00342A78"/>
    <w:rsid w:val="00343066"/>
    <w:rsid w:val="00344902"/>
    <w:rsid w:val="003449AC"/>
    <w:rsid w:val="0034508A"/>
    <w:rsid w:val="00345E86"/>
    <w:rsid w:val="003464AB"/>
    <w:rsid w:val="00346ACA"/>
    <w:rsid w:val="003473D5"/>
    <w:rsid w:val="00350348"/>
    <w:rsid w:val="00350678"/>
    <w:rsid w:val="00351E0E"/>
    <w:rsid w:val="00352B65"/>
    <w:rsid w:val="00353D0E"/>
    <w:rsid w:val="00353EC5"/>
    <w:rsid w:val="00356B27"/>
    <w:rsid w:val="00356D3E"/>
    <w:rsid w:val="003578F5"/>
    <w:rsid w:val="00357C91"/>
    <w:rsid w:val="003605B8"/>
    <w:rsid w:val="003606F4"/>
    <w:rsid w:val="00360DD2"/>
    <w:rsid w:val="003615DE"/>
    <w:rsid w:val="00362DEA"/>
    <w:rsid w:val="0036328A"/>
    <w:rsid w:val="0036422A"/>
    <w:rsid w:val="00366195"/>
    <w:rsid w:val="0036681F"/>
    <w:rsid w:val="0036752A"/>
    <w:rsid w:val="003722C7"/>
    <w:rsid w:val="003726F5"/>
    <w:rsid w:val="00372FB0"/>
    <w:rsid w:val="00373BE6"/>
    <w:rsid w:val="00373DF7"/>
    <w:rsid w:val="00375B93"/>
    <w:rsid w:val="003770BA"/>
    <w:rsid w:val="00377A41"/>
    <w:rsid w:val="00377EF5"/>
    <w:rsid w:val="00380106"/>
    <w:rsid w:val="00380DD9"/>
    <w:rsid w:val="00380F7E"/>
    <w:rsid w:val="00382253"/>
    <w:rsid w:val="00383DAF"/>
    <w:rsid w:val="00383EDF"/>
    <w:rsid w:val="00384D3B"/>
    <w:rsid w:val="00384FFC"/>
    <w:rsid w:val="00385543"/>
    <w:rsid w:val="0038761C"/>
    <w:rsid w:val="00391A81"/>
    <w:rsid w:val="00391E57"/>
    <w:rsid w:val="003926A1"/>
    <w:rsid w:val="00392FCF"/>
    <w:rsid w:val="0039435B"/>
    <w:rsid w:val="0039553C"/>
    <w:rsid w:val="00395ABF"/>
    <w:rsid w:val="00397E34"/>
    <w:rsid w:val="003A0F50"/>
    <w:rsid w:val="003A1DEA"/>
    <w:rsid w:val="003A2451"/>
    <w:rsid w:val="003A49A1"/>
    <w:rsid w:val="003A74A6"/>
    <w:rsid w:val="003A7B4E"/>
    <w:rsid w:val="003B0DF5"/>
    <w:rsid w:val="003B1337"/>
    <w:rsid w:val="003B18A4"/>
    <w:rsid w:val="003B2C26"/>
    <w:rsid w:val="003B2EAE"/>
    <w:rsid w:val="003B322B"/>
    <w:rsid w:val="003B3318"/>
    <w:rsid w:val="003B5EFB"/>
    <w:rsid w:val="003B79C0"/>
    <w:rsid w:val="003C00D8"/>
    <w:rsid w:val="003C0311"/>
    <w:rsid w:val="003C1F0D"/>
    <w:rsid w:val="003C3CC9"/>
    <w:rsid w:val="003C3EC0"/>
    <w:rsid w:val="003C4A5D"/>
    <w:rsid w:val="003C6383"/>
    <w:rsid w:val="003C6F2D"/>
    <w:rsid w:val="003C72D9"/>
    <w:rsid w:val="003D0B74"/>
    <w:rsid w:val="003D12CE"/>
    <w:rsid w:val="003D1824"/>
    <w:rsid w:val="003D2B7F"/>
    <w:rsid w:val="003D4081"/>
    <w:rsid w:val="003D5094"/>
    <w:rsid w:val="003D6EA1"/>
    <w:rsid w:val="003E011E"/>
    <w:rsid w:val="003E032D"/>
    <w:rsid w:val="003E03B7"/>
    <w:rsid w:val="003E0E61"/>
    <w:rsid w:val="003E2867"/>
    <w:rsid w:val="003E2F84"/>
    <w:rsid w:val="003E328F"/>
    <w:rsid w:val="003E34CD"/>
    <w:rsid w:val="003E3A44"/>
    <w:rsid w:val="003E3BF9"/>
    <w:rsid w:val="003E45B7"/>
    <w:rsid w:val="003E476C"/>
    <w:rsid w:val="003E4E16"/>
    <w:rsid w:val="003E5338"/>
    <w:rsid w:val="003E5E8D"/>
    <w:rsid w:val="003E60F9"/>
    <w:rsid w:val="003E7557"/>
    <w:rsid w:val="003F0264"/>
    <w:rsid w:val="003F1A84"/>
    <w:rsid w:val="003F2EC8"/>
    <w:rsid w:val="003F2FAD"/>
    <w:rsid w:val="003F3332"/>
    <w:rsid w:val="003F33EF"/>
    <w:rsid w:val="003F3E9C"/>
    <w:rsid w:val="003F5642"/>
    <w:rsid w:val="003F74D2"/>
    <w:rsid w:val="003F7747"/>
    <w:rsid w:val="004009F9"/>
    <w:rsid w:val="00400D03"/>
    <w:rsid w:val="0040151C"/>
    <w:rsid w:val="00401A32"/>
    <w:rsid w:val="004020E8"/>
    <w:rsid w:val="004030F7"/>
    <w:rsid w:val="00403978"/>
    <w:rsid w:val="00403C94"/>
    <w:rsid w:val="0040431A"/>
    <w:rsid w:val="0040529C"/>
    <w:rsid w:val="0040667A"/>
    <w:rsid w:val="00406E8E"/>
    <w:rsid w:val="00406EBF"/>
    <w:rsid w:val="00406F32"/>
    <w:rsid w:val="004100AA"/>
    <w:rsid w:val="00410A7C"/>
    <w:rsid w:val="00410C50"/>
    <w:rsid w:val="00411B52"/>
    <w:rsid w:val="00411FC4"/>
    <w:rsid w:val="00412298"/>
    <w:rsid w:val="004123A6"/>
    <w:rsid w:val="00412A90"/>
    <w:rsid w:val="00415267"/>
    <w:rsid w:val="00415A21"/>
    <w:rsid w:val="00415B1B"/>
    <w:rsid w:val="00415D90"/>
    <w:rsid w:val="00416741"/>
    <w:rsid w:val="00416D23"/>
    <w:rsid w:val="00417287"/>
    <w:rsid w:val="00417C6E"/>
    <w:rsid w:val="00417CE6"/>
    <w:rsid w:val="00417D71"/>
    <w:rsid w:val="00421B0E"/>
    <w:rsid w:val="00422292"/>
    <w:rsid w:val="00422723"/>
    <w:rsid w:val="00422A5E"/>
    <w:rsid w:val="004231A5"/>
    <w:rsid w:val="004238DA"/>
    <w:rsid w:val="00424146"/>
    <w:rsid w:val="004248D5"/>
    <w:rsid w:val="004249CC"/>
    <w:rsid w:val="00425621"/>
    <w:rsid w:val="00425AF8"/>
    <w:rsid w:val="00425F9F"/>
    <w:rsid w:val="00427A2C"/>
    <w:rsid w:val="004322BB"/>
    <w:rsid w:val="004328B3"/>
    <w:rsid w:val="00434477"/>
    <w:rsid w:val="00434B4E"/>
    <w:rsid w:val="00434D57"/>
    <w:rsid w:val="00436C8E"/>
    <w:rsid w:val="00437AC4"/>
    <w:rsid w:val="00437BE2"/>
    <w:rsid w:val="00440074"/>
    <w:rsid w:val="004409F8"/>
    <w:rsid w:val="0044150B"/>
    <w:rsid w:val="00443B9D"/>
    <w:rsid w:val="004464C6"/>
    <w:rsid w:val="004467F6"/>
    <w:rsid w:val="00446BF7"/>
    <w:rsid w:val="00447A1B"/>
    <w:rsid w:val="00447F9B"/>
    <w:rsid w:val="00450818"/>
    <w:rsid w:val="0045128B"/>
    <w:rsid w:val="004515B2"/>
    <w:rsid w:val="004516BD"/>
    <w:rsid w:val="00451D52"/>
    <w:rsid w:val="00451D78"/>
    <w:rsid w:val="0045202F"/>
    <w:rsid w:val="004521A9"/>
    <w:rsid w:val="00453105"/>
    <w:rsid w:val="0045341D"/>
    <w:rsid w:val="00453AD3"/>
    <w:rsid w:val="00453E6F"/>
    <w:rsid w:val="004544BD"/>
    <w:rsid w:val="00456A00"/>
    <w:rsid w:val="00456C73"/>
    <w:rsid w:val="004570D7"/>
    <w:rsid w:val="00457A18"/>
    <w:rsid w:val="004604D7"/>
    <w:rsid w:val="00460C99"/>
    <w:rsid w:val="004647FA"/>
    <w:rsid w:val="00464E33"/>
    <w:rsid w:val="00466285"/>
    <w:rsid w:val="00466D65"/>
    <w:rsid w:val="00466EB4"/>
    <w:rsid w:val="00471D7D"/>
    <w:rsid w:val="004738F1"/>
    <w:rsid w:val="0047398B"/>
    <w:rsid w:val="00474CC7"/>
    <w:rsid w:val="00475337"/>
    <w:rsid w:val="004762ED"/>
    <w:rsid w:val="00477EF5"/>
    <w:rsid w:val="004800F4"/>
    <w:rsid w:val="0048100D"/>
    <w:rsid w:val="004812E5"/>
    <w:rsid w:val="00481422"/>
    <w:rsid w:val="0048326A"/>
    <w:rsid w:val="00483ED0"/>
    <w:rsid w:val="0048497F"/>
    <w:rsid w:val="004854B0"/>
    <w:rsid w:val="00485CB0"/>
    <w:rsid w:val="00487CBF"/>
    <w:rsid w:val="00487FC1"/>
    <w:rsid w:val="00491C56"/>
    <w:rsid w:val="00493A78"/>
    <w:rsid w:val="004943A1"/>
    <w:rsid w:val="00494A50"/>
    <w:rsid w:val="00497351"/>
    <w:rsid w:val="00497885"/>
    <w:rsid w:val="004A01D3"/>
    <w:rsid w:val="004A1574"/>
    <w:rsid w:val="004A1809"/>
    <w:rsid w:val="004A1B1D"/>
    <w:rsid w:val="004A1D1E"/>
    <w:rsid w:val="004A1DC3"/>
    <w:rsid w:val="004A2435"/>
    <w:rsid w:val="004A4D0D"/>
    <w:rsid w:val="004A5648"/>
    <w:rsid w:val="004A58FD"/>
    <w:rsid w:val="004B0D23"/>
    <w:rsid w:val="004B1512"/>
    <w:rsid w:val="004B1570"/>
    <w:rsid w:val="004B2607"/>
    <w:rsid w:val="004B33FA"/>
    <w:rsid w:val="004B41ED"/>
    <w:rsid w:val="004B5203"/>
    <w:rsid w:val="004B5925"/>
    <w:rsid w:val="004B5BB5"/>
    <w:rsid w:val="004B6088"/>
    <w:rsid w:val="004B7561"/>
    <w:rsid w:val="004B7B74"/>
    <w:rsid w:val="004B7BCA"/>
    <w:rsid w:val="004C0D1E"/>
    <w:rsid w:val="004C1A0D"/>
    <w:rsid w:val="004C1FA9"/>
    <w:rsid w:val="004C253D"/>
    <w:rsid w:val="004C2886"/>
    <w:rsid w:val="004C4064"/>
    <w:rsid w:val="004C52C3"/>
    <w:rsid w:val="004C58FC"/>
    <w:rsid w:val="004C6669"/>
    <w:rsid w:val="004C69E2"/>
    <w:rsid w:val="004C69E5"/>
    <w:rsid w:val="004C736B"/>
    <w:rsid w:val="004C761D"/>
    <w:rsid w:val="004C7EC2"/>
    <w:rsid w:val="004D07C0"/>
    <w:rsid w:val="004D07C4"/>
    <w:rsid w:val="004D0C91"/>
    <w:rsid w:val="004D216D"/>
    <w:rsid w:val="004D255D"/>
    <w:rsid w:val="004D3FF2"/>
    <w:rsid w:val="004D4E5C"/>
    <w:rsid w:val="004D57B0"/>
    <w:rsid w:val="004D634E"/>
    <w:rsid w:val="004D7326"/>
    <w:rsid w:val="004D7FB5"/>
    <w:rsid w:val="004E009E"/>
    <w:rsid w:val="004E07B8"/>
    <w:rsid w:val="004E1BBE"/>
    <w:rsid w:val="004E25B0"/>
    <w:rsid w:val="004E26EA"/>
    <w:rsid w:val="004E2D01"/>
    <w:rsid w:val="004E38A1"/>
    <w:rsid w:val="004E3CF9"/>
    <w:rsid w:val="004E4D9B"/>
    <w:rsid w:val="004E525C"/>
    <w:rsid w:val="004E5DDF"/>
    <w:rsid w:val="004E6F41"/>
    <w:rsid w:val="004E6F83"/>
    <w:rsid w:val="004E7B1A"/>
    <w:rsid w:val="004E7B86"/>
    <w:rsid w:val="004F05EA"/>
    <w:rsid w:val="004F1262"/>
    <w:rsid w:val="004F1772"/>
    <w:rsid w:val="004F1DB6"/>
    <w:rsid w:val="004F1E3F"/>
    <w:rsid w:val="004F29FA"/>
    <w:rsid w:val="004F4261"/>
    <w:rsid w:val="004F43D9"/>
    <w:rsid w:val="004F4658"/>
    <w:rsid w:val="004F46D2"/>
    <w:rsid w:val="004F509E"/>
    <w:rsid w:val="004F5E05"/>
    <w:rsid w:val="004F70D1"/>
    <w:rsid w:val="004F7FEF"/>
    <w:rsid w:val="005001CB"/>
    <w:rsid w:val="00500813"/>
    <w:rsid w:val="0050092C"/>
    <w:rsid w:val="00500C1A"/>
    <w:rsid w:val="00500FCD"/>
    <w:rsid w:val="00501E6F"/>
    <w:rsid w:val="00501EE2"/>
    <w:rsid w:val="00502F1D"/>
    <w:rsid w:val="00505D9D"/>
    <w:rsid w:val="0050768D"/>
    <w:rsid w:val="00510402"/>
    <w:rsid w:val="00510809"/>
    <w:rsid w:val="00511E3C"/>
    <w:rsid w:val="0051245F"/>
    <w:rsid w:val="00513814"/>
    <w:rsid w:val="00515629"/>
    <w:rsid w:val="00515D73"/>
    <w:rsid w:val="00517B98"/>
    <w:rsid w:val="00520B7B"/>
    <w:rsid w:val="00522386"/>
    <w:rsid w:val="00522B1F"/>
    <w:rsid w:val="0052625A"/>
    <w:rsid w:val="00527095"/>
    <w:rsid w:val="00531F8E"/>
    <w:rsid w:val="005346D9"/>
    <w:rsid w:val="00535E34"/>
    <w:rsid w:val="00536B9F"/>
    <w:rsid w:val="00536E19"/>
    <w:rsid w:val="00537210"/>
    <w:rsid w:val="0053777D"/>
    <w:rsid w:val="005406D4"/>
    <w:rsid w:val="00540D48"/>
    <w:rsid w:val="00542090"/>
    <w:rsid w:val="00542437"/>
    <w:rsid w:val="005424CF"/>
    <w:rsid w:val="00542DB8"/>
    <w:rsid w:val="00543466"/>
    <w:rsid w:val="00543BE5"/>
    <w:rsid w:val="00544E39"/>
    <w:rsid w:val="005457F2"/>
    <w:rsid w:val="00545EFD"/>
    <w:rsid w:val="00547FF7"/>
    <w:rsid w:val="0055171E"/>
    <w:rsid w:val="005520CE"/>
    <w:rsid w:val="00553315"/>
    <w:rsid w:val="0055413D"/>
    <w:rsid w:val="00555A6E"/>
    <w:rsid w:val="00555B33"/>
    <w:rsid w:val="00556660"/>
    <w:rsid w:val="0055688E"/>
    <w:rsid w:val="005603F5"/>
    <w:rsid w:val="005607A8"/>
    <w:rsid w:val="00561E6B"/>
    <w:rsid w:val="00562116"/>
    <w:rsid w:val="00562474"/>
    <w:rsid w:val="00562AA4"/>
    <w:rsid w:val="005634B5"/>
    <w:rsid w:val="00563CA1"/>
    <w:rsid w:val="00564EA8"/>
    <w:rsid w:val="00564F05"/>
    <w:rsid w:val="00565A2C"/>
    <w:rsid w:val="00565DB7"/>
    <w:rsid w:val="005668F9"/>
    <w:rsid w:val="005674C8"/>
    <w:rsid w:val="005700D6"/>
    <w:rsid w:val="00570B3A"/>
    <w:rsid w:val="0057101C"/>
    <w:rsid w:val="005712EC"/>
    <w:rsid w:val="005715D3"/>
    <w:rsid w:val="005725F5"/>
    <w:rsid w:val="00573E0D"/>
    <w:rsid w:val="00573F4C"/>
    <w:rsid w:val="005744EB"/>
    <w:rsid w:val="00575DC0"/>
    <w:rsid w:val="0057601D"/>
    <w:rsid w:val="00577FE4"/>
    <w:rsid w:val="00580211"/>
    <w:rsid w:val="00581303"/>
    <w:rsid w:val="00582882"/>
    <w:rsid w:val="0058453D"/>
    <w:rsid w:val="005852CB"/>
    <w:rsid w:val="005852D9"/>
    <w:rsid w:val="0058588D"/>
    <w:rsid w:val="00590A82"/>
    <w:rsid w:val="00591A6A"/>
    <w:rsid w:val="00591E6A"/>
    <w:rsid w:val="0059244A"/>
    <w:rsid w:val="005926B3"/>
    <w:rsid w:val="0059290C"/>
    <w:rsid w:val="005935B3"/>
    <w:rsid w:val="00594052"/>
    <w:rsid w:val="005940D4"/>
    <w:rsid w:val="00595CE4"/>
    <w:rsid w:val="00595EB1"/>
    <w:rsid w:val="00595F3B"/>
    <w:rsid w:val="00596C24"/>
    <w:rsid w:val="00597ED0"/>
    <w:rsid w:val="005A2133"/>
    <w:rsid w:val="005A2387"/>
    <w:rsid w:val="005A26E9"/>
    <w:rsid w:val="005A4EE9"/>
    <w:rsid w:val="005A64BC"/>
    <w:rsid w:val="005A68A2"/>
    <w:rsid w:val="005A6CBF"/>
    <w:rsid w:val="005B0ED1"/>
    <w:rsid w:val="005B1279"/>
    <w:rsid w:val="005B1F20"/>
    <w:rsid w:val="005B1F38"/>
    <w:rsid w:val="005B2473"/>
    <w:rsid w:val="005B26D1"/>
    <w:rsid w:val="005B29C0"/>
    <w:rsid w:val="005B5B26"/>
    <w:rsid w:val="005B797A"/>
    <w:rsid w:val="005C0253"/>
    <w:rsid w:val="005C025B"/>
    <w:rsid w:val="005C166B"/>
    <w:rsid w:val="005C1DFE"/>
    <w:rsid w:val="005C1E7E"/>
    <w:rsid w:val="005C240C"/>
    <w:rsid w:val="005C261D"/>
    <w:rsid w:val="005C30F1"/>
    <w:rsid w:val="005C35A5"/>
    <w:rsid w:val="005C368A"/>
    <w:rsid w:val="005C3F87"/>
    <w:rsid w:val="005C4789"/>
    <w:rsid w:val="005C5778"/>
    <w:rsid w:val="005C5A6D"/>
    <w:rsid w:val="005C60AB"/>
    <w:rsid w:val="005C61AD"/>
    <w:rsid w:val="005C7EB2"/>
    <w:rsid w:val="005D1174"/>
    <w:rsid w:val="005D2DFE"/>
    <w:rsid w:val="005D3098"/>
    <w:rsid w:val="005D4FDF"/>
    <w:rsid w:val="005D5B84"/>
    <w:rsid w:val="005D6AF1"/>
    <w:rsid w:val="005D6DBC"/>
    <w:rsid w:val="005D6EE5"/>
    <w:rsid w:val="005D7077"/>
    <w:rsid w:val="005E16B9"/>
    <w:rsid w:val="005E1763"/>
    <w:rsid w:val="005E1F05"/>
    <w:rsid w:val="005E216B"/>
    <w:rsid w:val="005E3F5F"/>
    <w:rsid w:val="005E58E9"/>
    <w:rsid w:val="005E603B"/>
    <w:rsid w:val="005E6076"/>
    <w:rsid w:val="005E73C2"/>
    <w:rsid w:val="005F00EA"/>
    <w:rsid w:val="005F0305"/>
    <w:rsid w:val="005F0355"/>
    <w:rsid w:val="005F1AAF"/>
    <w:rsid w:val="005F3BC0"/>
    <w:rsid w:val="005F4D43"/>
    <w:rsid w:val="005F4DC2"/>
    <w:rsid w:val="005F6040"/>
    <w:rsid w:val="005F619A"/>
    <w:rsid w:val="005F6996"/>
    <w:rsid w:val="005F6E4A"/>
    <w:rsid w:val="005F7775"/>
    <w:rsid w:val="005F77CC"/>
    <w:rsid w:val="005F7ACF"/>
    <w:rsid w:val="005F7BC5"/>
    <w:rsid w:val="006029E2"/>
    <w:rsid w:val="00602D1B"/>
    <w:rsid w:val="00605387"/>
    <w:rsid w:val="006055AA"/>
    <w:rsid w:val="00605B51"/>
    <w:rsid w:val="006066D2"/>
    <w:rsid w:val="00607020"/>
    <w:rsid w:val="006073AF"/>
    <w:rsid w:val="00607857"/>
    <w:rsid w:val="006103F1"/>
    <w:rsid w:val="00610D95"/>
    <w:rsid w:val="00611A4B"/>
    <w:rsid w:val="006129A8"/>
    <w:rsid w:val="00612B1E"/>
    <w:rsid w:val="00612C37"/>
    <w:rsid w:val="006139A6"/>
    <w:rsid w:val="00613CA3"/>
    <w:rsid w:val="00614537"/>
    <w:rsid w:val="00614A17"/>
    <w:rsid w:val="00614E05"/>
    <w:rsid w:val="00615DEA"/>
    <w:rsid w:val="00616297"/>
    <w:rsid w:val="0061692D"/>
    <w:rsid w:val="00616EEC"/>
    <w:rsid w:val="00617338"/>
    <w:rsid w:val="00622374"/>
    <w:rsid w:val="0062313A"/>
    <w:rsid w:val="00623F47"/>
    <w:rsid w:val="00624F45"/>
    <w:rsid w:val="00626D94"/>
    <w:rsid w:val="00627A84"/>
    <w:rsid w:val="0063000B"/>
    <w:rsid w:val="00630BEF"/>
    <w:rsid w:val="0063104C"/>
    <w:rsid w:val="006315B1"/>
    <w:rsid w:val="006323D6"/>
    <w:rsid w:val="00632F31"/>
    <w:rsid w:val="0063358B"/>
    <w:rsid w:val="00633920"/>
    <w:rsid w:val="0063450E"/>
    <w:rsid w:val="006348DB"/>
    <w:rsid w:val="00634BFE"/>
    <w:rsid w:val="00635259"/>
    <w:rsid w:val="00635CB2"/>
    <w:rsid w:val="00635EFD"/>
    <w:rsid w:val="00635F22"/>
    <w:rsid w:val="006363D3"/>
    <w:rsid w:val="00636793"/>
    <w:rsid w:val="00636944"/>
    <w:rsid w:val="00637196"/>
    <w:rsid w:val="00637DE6"/>
    <w:rsid w:val="00640CD4"/>
    <w:rsid w:val="0064119F"/>
    <w:rsid w:val="00643D45"/>
    <w:rsid w:val="00644FA0"/>
    <w:rsid w:val="0064520F"/>
    <w:rsid w:val="00645BE0"/>
    <w:rsid w:val="00645CF6"/>
    <w:rsid w:val="0064659B"/>
    <w:rsid w:val="006479FE"/>
    <w:rsid w:val="00647A98"/>
    <w:rsid w:val="0065186F"/>
    <w:rsid w:val="006520C0"/>
    <w:rsid w:val="006522AF"/>
    <w:rsid w:val="006522C2"/>
    <w:rsid w:val="00653C57"/>
    <w:rsid w:val="00653FDB"/>
    <w:rsid w:val="0065415A"/>
    <w:rsid w:val="00654A1D"/>
    <w:rsid w:val="0065689F"/>
    <w:rsid w:val="00656ED0"/>
    <w:rsid w:val="006608FA"/>
    <w:rsid w:val="00660E22"/>
    <w:rsid w:val="00662EDE"/>
    <w:rsid w:val="0066386E"/>
    <w:rsid w:val="006644C5"/>
    <w:rsid w:val="00667079"/>
    <w:rsid w:val="006712AE"/>
    <w:rsid w:val="006712D7"/>
    <w:rsid w:val="00671457"/>
    <w:rsid w:val="00671DD1"/>
    <w:rsid w:val="0067330C"/>
    <w:rsid w:val="00673AC6"/>
    <w:rsid w:val="006749F2"/>
    <w:rsid w:val="00674A72"/>
    <w:rsid w:val="00675BDD"/>
    <w:rsid w:val="00676A50"/>
    <w:rsid w:val="0067734F"/>
    <w:rsid w:val="0068160C"/>
    <w:rsid w:val="0068284F"/>
    <w:rsid w:val="00683683"/>
    <w:rsid w:val="006836AD"/>
    <w:rsid w:val="0068378E"/>
    <w:rsid w:val="00684BB1"/>
    <w:rsid w:val="00685BD9"/>
    <w:rsid w:val="00685D09"/>
    <w:rsid w:val="0068629C"/>
    <w:rsid w:val="00686DF1"/>
    <w:rsid w:val="00687244"/>
    <w:rsid w:val="00687701"/>
    <w:rsid w:val="00687ADF"/>
    <w:rsid w:val="00687F4E"/>
    <w:rsid w:val="0069007E"/>
    <w:rsid w:val="00690F22"/>
    <w:rsid w:val="0069137F"/>
    <w:rsid w:val="0069164C"/>
    <w:rsid w:val="00691B32"/>
    <w:rsid w:val="00691F9F"/>
    <w:rsid w:val="00692A4A"/>
    <w:rsid w:val="00692DCA"/>
    <w:rsid w:val="0069354F"/>
    <w:rsid w:val="00694766"/>
    <w:rsid w:val="006947FD"/>
    <w:rsid w:val="00694DCD"/>
    <w:rsid w:val="00695783"/>
    <w:rsid w:val="00696B61"/>
    <w:rsid w:val="006978A9"/>
    <w:rsid w:val="00697907"/>
    <w:rsid w:val="00697B65"/>
    <w:rsid w:val="006A07A4"/>
    <w:rsid w:val="006A224A"/>
    <w:rsid w:val="006A2262"/>
    <w:rsid w:val="006A2428"/>
    <w:rsid w:val="006A345B"/>
    <w:rsid w:val="006A4BB1"/>
    <w:rsid w:val="006A5400"/>
    <w:rsid w:val="006A5548"/>
    <w:rsid w:val="006A558E"/>
    <w:rsid w:val="006A5B87"/>
    <w:rsid w:val="006A5FAB"/>
    <w:rsid w:val="006A6FF3"/>
    <w:rsid w:val="006B0EB3"/>
    <w:rsid w:val="006B4152"/>
    <w:rsid w:val="006B466E"/>
    <w:rsid w:val="006B4EFC"/>
    <w:rsid w:val="006B5B9C"/>
    <w:rsid w:val="006B5DF1"/>
    <w:rsid w:val="006B6298"/>
    <w:rsid w:val="006B72A8"/>
    <w:rsid w:val="006B73EB"/>
    <w:rsid w:val="006B74E6"/>
    <w:rsid w:val="006B7810"/>
    <w:rsid w:val="006B7CDF"/>
    <w:rsid w:val="006C021F"/>
    <w:rsid w:val="006C09EA"/>
    <w:rsid w:val="006C140A"/>
    <w:rsid w:val="006C2771"/>
    <w:rsid w:val="006C4212"/>
    <w:rsid w:val="006C71AA"/>
    <w:rsid w:val="006C78B2"/>
    <w:rsid w:val="006C7D7F"/>
    <w:rsid w:val="006C7E5D"/>
    <w:rsid w:val="006D1864"/>
    <w:rsid w:val="006D329A"/>
    <w:rsid w:val="006D366F"/>
    <w:rsid w:val="006D3F60"/>
    <w:rsid w:val="006D440F"/>
    <w:rsid w:val="006D4E38"/>
    <w:rsid w:val="006D5029"/>
    <w:rsid w:val="006D5909"/>
    <w:rsid w:val="006D6819"/>
    <w:rsid w:val="006D6988"/>
    <w:rsid w:val="006D6A38"/>
    <w:rsid w:val="006D6B97"/>
    <w:rsid w:val="006D7269"/>
    <w:rsid w:val="006D751B"/>
    <w:rsid w:val="006D7CBF"/>
    <w:rsid w:val="006D7E8B"/>
    <w:rsid w:val="006E0512"/>
    <w:rsid w:val="006E1FED"/>
    <w:rsid w:val="006E21A8"/>
    <w:rsid w:val="006E2644"/>
    <w:rsid w:val="006E4A4F"/>
    <w:rsid w:val="006E4CDD"/>
    <w:rsid w:val="006E4DE5"/>
    <w:rsid w:val="006E5383"/>
    <w:rsid w:val="006E53D5"/>
    <w:rsid w:val="006F09A0"/>
    <w:rsid w:val="006F0E74"/>
    <w:rsid w:val="006F1233"/>
    <w:rsid w:val="006F1B5F"/>
    <w:rsid w:val="006F1FE8"/>
    <w:rsid w:val="006F5B4F"/>
    <w:rsid w:val="006F7B89"/>
    <w:rsid w:val="00701A04"/>
    <w:rsid w:val="00701BD4"/>
    <w:rsid w:val="007028C3"/>
    <w:rsid w:val="00702B30"/>
    <w:rsid w:val="00704354"/>
    <w:rsid w:val="007044C0"/>
    <w:rsid w:val="00705256"/>
    <w:rsid w:val="0070597E"/>
    <w:rsid w:val="00705F6B"/>
    <w:rsid w:val="007063B4"/>
    <w:rsid w:val="007067DC"/>
    <w:rsid w:val="00707564"/>
    <w:rsid w:val="00710201"/>
    <w:rsid w:val="007102A9"/>
    <w:rsid w:val="00710661"/>
    <w:rsid w:val="00711B8D"/>
    <w:rsid w:val="007127C9"/>
    <w:rsid w:val="00714ED8"/>
    <w:rsid w:val="007163E2"/>
    <w:rsid w:val="0071667F"/>
    <w:rsid w:val="00716BCB"/>
    <w:rsid w:val="00717348"/>
    <w:rsid w:val="007178B7"/>
    <w:rsid w:val="00717939"/>
    <w:rsid w:val="00717B87"/>
    <w:rsid w:val="00717B9D"/>
    <w:rsid w:val="007204FB"/>
    <w:rsid w:val="00720D33"/>
    <w:rsid w:val="00722E5E"/>
    <w:rsid w:val="0072334F"/>
    <w:rsid w:val="00723552"/>
    <w:rsid w:val="0072395A"/>
    <w:rsid w:val="00723CF1"/>
    <w:rsid w:val="00724F48"/>
    <w:rsid w:val="00725ACD"/>
    <w:rsid w:val="00725E44"/>
    <w:rsid w:val="007267D2"/>
    <w:rsid w:val="0072702C"/>
    <w:rsid w:val="00727C94"/>
    <w:rsid w:val="007305E5"/>
    <w:rsid w:val="00730C21"/>
    <w:rsid w:val="007317DF"/>
    <w:rsid w:val="0073271E"/>
    <w:rsid w:val="00732933"/>
    <w:rsid w:val="00733A0F"/>
    <w:rsid w:val="00733B85"/>
    <w:rsid w:val="007345E5"/>
    <w:rsid w:val="0073495A"/>
    <w:rsid w:val="00734EE2"/>
    <w:rsid w:val="00735AAE"/>
    <w:rsid w:val="00736359"/>
    <w:rsid w:val="007372E9"/>
    <w:rsid w:val="007379CE"/>
    <w:rsid w:val="00740A78"/>
    <w:rsid w:val="007429A7"/>
    <w:rsid w:val="00742C83"/>
    <w:rsid w:val="00742F12"/>
    <w:rsid w:val="007436E7"/>
    <w:rsid w:val="00743870"/>
    <w:rsid w:val="00743A7F"/>
    <w:rsid w:val="007465EB"/>
    <w:rsid w:val="00746CD4"/>
    <w:rsid w:val="00747757"/>
    <w:rsid w:val="00747B36"/>
    <w:rsid w:val="007502A5"/>
    <w:rsid w:val="00750790"/>
    <w:rsid w:val="00751860"/>
    <w:rsid w:val="00751BC4"/>
    <w:rsid w:val="007534D2"/>
    <w:rsid w:val="007536D8"/>
    <w:rsid w:val="00753E2B"/>
    <w:rsid w:val="0075549A"/>
    <w:rsid w:val="007566E6"/>
    <w:rsid w:val="0075691C"/>
    <w:rsid w:val="00756C47"/>
    <w:rsid w:val="007579CF"/>
    <w:rsid w:val="0076040D"/>
    <w:rsid w:val="00760D94"/>
    <w:rsid w:val="007634A1"/>
    <w:rsid w:val="00764AB6"/>
    <w:rsid w:val="00765C6E"/>
    <w:rsid w:val="00766379"/>
    <w:rsid w:val="00767721"/>
    <w:rsid w:val="007679B2"/>
    <w:rsid w:val="00767A46"/>
    <w:rsid w:val="0077068C"/>
    <w:rsid w:val="00770F67"/>
    <w:rsid w:val="0077197F"/>
    <w:rsid w:val="00771B03"/>
    <w:rsid w:val="00771C9D"/>
    <w:rsid w:val="00771D6C"/>
    <w:rsid w:val="0077221D"/>
    <w:rsid w:val="00773787"/>
    <w:rsid w:val="00773825"/>
    <w:rsid w:val="00774750"/>
    <w:rsid w:val="0077578A"/>
    <w:rsid w:val="00775DCF"/>
    <w:rsid w:val="00776314"/>
    <w:rsid w:val="00776418"/>
    <w:rsid w:val="00777EAA"/>
    <w:rsid w:val="007801E3"/>
    <w:rsid w:val="0078035E"/>
    <w:rsid w:val="007803AC"/>
    <w:rsid w:val="00780EAA"/>
    <w:rsid w:val="0078105E"/>
    <w:rsid w:val="00781EA8"/>
    <w:rsid w:val="00783FB2"/>
    <w:rsid w:val="0078610C"/>
    <w:rsid w:val="00786D28"/>
    <w:rsid w:val="00786F15"/>
    <w:rsid w:val="0078765B"/>
    <w:rsid w:val="0078768E"/>
    <w:rsid w:val="00787FBD"/>
    <w:rsid w:val="00790FE2"/>
    <w:rsid w:val="0079140A"/>
    <w:rsid w:val="00791503"/>
    <w:rsid w:val="007927FA"/>
    <w:rsid w:val="00792BA2"/>
    <w:rsid w:val="00793FF1"/>
    <w:rsid w:val="00794377"/>
    <w:rsid w:val="007944AE"/>
    <w:rsid w:val="0079529A"/>
    <w:rsid w:val="0079586F"/>
    <w:rsid w:val="00795B09"/>
    <w:rsid w:val="00795E60"/>
    <w:rsid w:val="007A0856"/>
    <w:rsid w:val="007A08DF"/>
    <w:rsid w:val="007A09E5"/>
    <w:rsid w:val="007A18A0"/>
    <w:rsid w:val="007A1A83"/>
    <w:rsid w:val="007A2BCB"/>
    <w:rsid w:val="007A6E4A"/>
    <w:rsid w:val="007A7296"/>
    <w:rsid w:val="007A7C82"/>
    <w:rsid w:val="007B032D"/>
    <w:rsid w:val="007B2AF4"/>
    <w:rsid w:val="007B4378"/>
    <w:rsid w:val="007B4CC2"/>
    <w:rsid w:val="007B4D5E"/>
    <w:rsid w:val="007B5E8B"/>
    <w:rsid w:val="007B62F8"/>
    <w:rsid w:val="007B6AD3"/>
    <w:rsid w:val="007B7A58"/>
    <w:rsid w:val="007C0560"/>
    <w:rsid w:val="007C085F"/>
    <w:rsid w:val="007C0B17"/>
    <w:rsid w:val="007C27EF"/>
    <w:rsid w:val="007C316A"/>
    <w:rsid w:val="007C40B4"/>
    <w:rsid w:val="007C4D4B"/>
    <w:rsid w:val="007C7086"/>
    <w:rsid w:val="007C7C7C"/>
    <w:rsid w:val="007D109B"/>
    <w:rsid w:val="007D1C57"/>
    <w:rsid w:val="007D253E"/>
    <w:rsid w:val="007D3A3A"/>
    <w:rsid w:val="007D42E9"/>
    <w:rsid w:val="007D42EE"/>
    <w:rsid w:val="007D4445"/>
    <w:rsid w:val="007D51FE"/>
    <w:rsid w:val="007D5AFD"/>
    <w:rsid w:val="007D60A9"/>
    <w:rsid w:val="007D6D0C"/>
    <w:rsid w:val="007D6DDE"/>
    <w:rsid w:val="007D73B1"/>
    <w:rsid w:val="007D7B82"/>
    <w:rsid w:val="007E0023"/>
    <w:rsid w:val="007E005E"/>
    <w:rsid w:val="007E01CA"/>
    <w:rsid w:val="007E088B"/>
    <w:rsid w:val="007E2F1B"/>
    <w:rsid w:val="007E3B17"/>
    <w:rsid w:val="007E475C"/>
    <w:rsid w:val="007E6083"/>
    <w:rsid w:val="007E68C9"/>
    <w:rsid w:val="007F0D23"/>
    <w:rsid w:val="007F2679"/>
    <w:rsid w:val="007F29CF"/>
    <w:rsid w:val="007F2F02"/>
    <w:rsid w:val="007F390E"/>
    <w:rsid w:val="007F45E1"/>
    <w:rsid w:val="007F4B04"/>
    <w:rsid w:val="007F4F13"/>
    <w:rsid w:val="007F5100"/>
    <w:rsid w:val="007F52EC"/>
    <w:rsid w:val="007F572D"/>
    <w:rsid w:val="007F69FD"/>
    <w:rsid w:val="007F6C05"/>
    <w:rsid w:val="007F6F8E"/>
    <w:rsid w:val="007F74B4"/>
    <w:rsid w:val="007F7DF0"/>
    <w:rsid w:val="00800F2D"/>
    <w:rsid w:val="008041DA"/>
    <w:rsid w:val="0080433C"/>
    <w:rsid w:val="00805D5E"/>
    <w:rsid w:val="00805DDC"/>
    <w:rsid w:val="0080615C"/>
    <w:rsid w:val="00806847"/>
    <w:rsid w:val="00807D1A"/>
    <w:rsid w:val="00813F45"/>
    <w:rsid w:val="008144D0"/>
    <w:rsid w:val="00814583"/>
    <w:rsid w:val="008148B0"/>
    <w:rsid w:val="00814B70"/>
    <w:rsid w:val="00814B81"/>
    <w:rsid w:val="008150B5"/>
    <w:rsid w:val="008155B1"/>
    <w:rsid w:val="008156C5"/>
    <w:rsid w:val="0081609A"/>
    <w:rsid w:val="00817FF1"/>
    <w:rsid w:val="008202D8"/>
    <w:rsid w:val="0082040D"/>
    <w:rsid w:val="008209A5"/>
    <w:rsid w:val="0082127C"/>
    <w:rsid w:val="00824F0B"/>
    <w:rsid w:val="008252F3"/>
    <w:rsid w:val="00825840"/>
    <w:rsid w:val="00827C66"/>
    <w:rsid w:val="00830965"/>
    <w:rsid w:val="00832124"/>
    <w:rsid w:val="00832451"/>
    <w:rsid w:val="00832EF5"/>
    <w:rsid w:val="00832F51"/>
    <w:rsid w:val="0083455D"/>
    <w:rsid w:val="00834BBB"/>
    <w:rsid w:val="00834D7E"/>
    <w:rsid w:val="00836377"/>
    <w:rsid w:val="0084039A"/>
    <w:rsid w:val="008409FE"/>
    <w:rsid w:val="00841D89"/>
    <w:rsid w:val="00842E2A"/>
    <w:rsid w:val="00843380"/>
    <w:rsid w:val="008434AB"/>
    <w:rsid w:val="008447FB"/>
    <w:rsid w:val="00845014"/>
    <w:rsid w:val="00845B0E"/>
    <w:rsid w:val="008478D5"/>
    <w:rsid w:val="00847D93"/>
    <w:rsid w:val="0085245B"/>
    <w:rsid w:val="008526DA"/>
    <w:rsid w:val="00853E59"/>
    <w:rsid w:val="0085574B"/>
    <w:rsid w:val="00856163"/>
    <w:rsid w:val="00856A16"/>
    <w:rsid w:val="008603FA"/>
    <w:rsid w:val="00860B59"/>
    <w:rsid w:val="00860F74"/>
    <w:rsid w:val="00861573"/>
    <w:rsid w:val="00861768"/>
    <w:rsid w:val="00861B85"/>
    <w:rsid w:val="00862211"/>
    <w:rsid w:val="00862647"/>
    <w:rsid w:val="008627DD"/>
    <w:rsid w:val="00863172"/>
    <w:rsid w:val="0086367C"/>
    <w:rsid w:val="0086388C"/>
    <w:rsid w:val="00863F3E"/>
    <w:rsid w:val="0086411F"/>
    <w:rsid w:val="00864693"/>
    <w:rsid w:val="0086571A"/>
    <w:rsid w:val="00865724"/>
    <w:rsid w:val="0086598C"/>
    <w:rsid w:val="00866475"/>
    <w:rsid w:val="008664A4"/>
    <w:rsid w:val="00867AAE"/>
    <w:rsid w:val="00867EBF"/>
    <w:rsid w:val="0087238E"/>
    <w:rsid w:val="00872A20"/>
    <w:rsid w:val="0087334D"/>
    <w:rsid w:val="00873A37"/>
    <w:rsid w:val="00873E32"/>
    <w:rsid w:val="00874D57"/>
    <w:rsid w:val="00874F17"/>
    <w:rsid w:val="00875897"/>
    <w:rsid w:val="00876124"/>
    <w:rsid w:val="0087618E"/>
    <w:rsid w:val="00876245"/>
    <w:rsid w:val="00876841"/>
    <w:rsid w:val="00877E32"/>
    <w:rsid w:val="008818DC"/>
    <w:rsid w:val="00881CF3"/>
    <w:rsid w:val="0088205E"/>
    <w:rsid w:val="00883394"/>
    <w:rsid w:val="00883641"/>
    <w:rsid w:val="00883952"/>
    <w:rsid w:val="00883E56"/>
    <w:rsid w:val="0088464E"/>
    <w:rsid w:val="00885C79"/>
    <w:rsid w:val="00885DDC"/>
    <w:rsid w:val="0088658C"/>
    <w:rsid w:val="008865C5"/>
    <w:rsid w:val="00886795"/>
    <w:rsid w:val="00886A0C"/>
    <w:rsid w:val="00886F22"/>
    <w:rsid w:val="008910BB"/>
    <w:rsid w:val="00891D83"/>
    <w:rsid w:val="00893B84"/>
    <w:rsid w:val="008940BA"/>
    <w:rsid w:val="00894D59"/>
    <w:rsid w:val="008953BC"/>
    <w:rsid w:val="008A1F01"/>
    <w:rsid w:val="008A2752"/>
    <w:rsid w:val="008A2E2A"/>
    <w:rsid w:val="008A374A"/>
    <w:rsid w:val="008A4346"/>
    <w:rsid w:val="008A4792"/>
    <w:rsid w:val="008A4886"/>
    <w:rsid w:val="008B0602"/>
    <w:rsid w:val="008B08D1"/>
    <w:rsid w:val="008B0963"/>
    <w:rsid w:val="008B358E"/>
    <w:rsid w:val="008B38C6"/>
    <w:rsid w:val="008B3F63"/>
    <w:rsid w:val="008B4BE0"/>
    <w:rsid w:val="008B5609"/>
    <w:rsid w:val="008B580A"/>
    <w:rsid w:val="008B7756"/>
    <w:rsid w:val="008C048D"/>
    <w:rsid w:val="008C0AB6"/>
    <w:rsid w:val="008C0BAA"/>
    <w:rsid w:val="008C0F5E"/>
    <w:rsid w:val="008C15F6"/>
    <w:rsid w:val="008C256E"/>
    <w:rsid w:val="008C2A50"/>
    <w:rsid w:val="008C3480"/>
    <w:rsid w:val="008C3914"/>
    <w:rsid w:val="008C3976"/>
    <w:rsid w:val="008C64BB"/>
    <w:rsid w:val="008C66B2"/>
    <w:rsid w:val="008C7A4D"/>
    <w:rsid w:val="008D1979"/>
    <w:rsid w:val="008D22F5"/>
    <w:rsid w:val="008D3FA6"/>
    <w:rsid w:val="008D42F5"/>
    <w:rsid w:val="008D529F"/>
    <w:rsid w:val="008D543B"/>
    <w:rsid w:val="008D5658"/>
    <w:rsid w:val="008D57F2"/>
    <w:rsid w:val="008D5EA9"/>
    <w:rsid w:val="008D6D20"/>
    <w:rsid w:val="008D7650"/>
    <w:rsid w:val="008E0CB7"/>
    <w:rsid w:val="008E2892"/>
    <w:rsid w:val="008E2993"/>
    <w:rsid w:val="008E2B2C"/>
    <w:rsid w:val="008E2D0D"/>
    <w:rsid w:val="008E3196"/>
    <w:rsid w:val="008E4D99"/>
    <w:rsid w:val="008E524D"/>
    <w:rsid w:val="008E5BA8"/>
    <w:rsid w:val="008E6B1B"/>
    <w:rsid w:val="008E7F11"/>
    <w:rsid w:val="008F0306"/>
    <w:rsid w:val="008F0726"/>
    <w:rsid w:val="008F0F07"/>
    <w:rsid w:val="008F1FC2"/>
    <w:rsid w:val="008F2D89"/>
    <w:rsid w:val="008F3862"/>
    <w:rsid w:val="008F39D8"/>
    <w:rsid w:val="008F41AD"/>
    <w:rsid w:val="008F4513"/>
    <w:rsid w:val="008F4D6B"/>
    <w:rsid w:val="008F5008"/>
    <w:rsid w:val="008F52E1"/>
    <w:rsid w:val="008F5D97"/>
    <w:rsid w:val="008F5F3A"/>
    <w:rsid w:val="008F65E9"/>
    <w:rsid w:val="00902221"/>
    <w:rsid w:val="009022D5"/>
    <w:rsid w:val="0090237E"/>
    <w:rsid w:val="009035B5"/>
    <w:rsid w:val="009039D9"/>
    <w:rsid w:val="00903F22"/>
    <w:rsid w:val="00904E4D"/>
    <w:rsid w:val="0090596E"/>
    <w:rsid w:val="00906185"/>
    <w:rsid w:val="00906CDD"/>
    <w:rsid w:val="0090791E"/>
    <w:rsid w:val="0091027F"/>
    <w:rsid w:val="009126B6"/>
    <w:rsid w:val="00913074"/>
    <w:rsid w:val="009135F8"/>
    <w:rsid w:val="00913887"/>
    <w:rsid w:val="0091426B"/>
    <w:rsid w:val="00915308"/>
    <w:rsid w:val="00915424"/>
    <w:rsid w:val="00915BEE"/>
    <w:rsid w:val="00916917"/>
    <w:rsid w:val="00920A7A"/>
    <w:rsid w:val="0092170D"/>
    <w:rsid w:val="009233B7"/>
    <w:rsid w:val="00924A03"/>
    <w:rsid w:val="00924A20"/>
    <w:rsid w:val="00925657"/>
    <w:rsid w:val="00930B7B"/>
    <w:rsid w:val="00930D36"/>
    <w:rsid w:val="00930E5E"/>
    <w:rsid w:val="00931CD3"/>
    <w:rsid w:val="009329C5"/>
    <w:rsid w:val="00933551"/>
    <w:rsid w:val="00933E02"/>
    <w:rsid w:val="00934DDB"/>
    <w:rsid w:val="009355AC"/>
    <w:rsid w:val="009377FC"/>
    <w:rsid w:val="0093787D"/>
    <w:rsid w:val="0094133C"/>
    <w:rsid w:val="00943A6E"/>
    <w:rsid w:val="00944A86"/>
    <w:rsid w:val="009468EE"/>
    <w:rsid w:val="00946D96"/>
    <w:rsid w:val="009476D1"/>
    <w:rsid w:val="0095106D"/>
    <w:rsid w:val="00951418"/>
    <w:rsid w:val="00951F83"/>
    <w:rsid w:val="009531F1"/>
    <w:rsid w:val="009541B6"/>
    <w:rsid w:val="0095480D"/>
    <w:rsid w:val="00955883"/>
    <w:rsid w:val="009579E7"/>
    <w:rsid w:val="009601CF"/>
    <w:rsid w:val="00960F66"/>
    <w:rsid w:val="00960FFC"/>
    <w:rsid w:val="00962BCE"/>
    <w:rsid w:val="00964D02"/>
    <w:rsid w:val="00965BE1"/>
    <w:rsid w:val="00966EF2"/>
    <w:rsid w:val="00967953"/>
    <w:rsid w:val="0097053F"/>
    <w:rsid w:val="00971B62"/>
    <w:rsid w:val="009720D9"/>
    <w:rsid w:val="009722B7"/>
    <w:rsid w:val="009746B3"/>
    <w:rsid w:val="009805AA"/>
    <w:rsid w:val="009817E9"/>
    <w:rsid w:val="00981988"/>
    <w:rsid w:val="009826BA"/>
    <w:rsid w:val="00982A9F"/>
    <w:rsid w:val="009838DB"/>
    <w:rsid w:val="009841B6"/>
    <w:rsid w:val="0098705E"/>
    <w:rsid w:val="0099069F"/>
    <w:rsid w:val="00990991"/>
    <w:rsid w:val="00991B42"/>
    <w:rsid w:val="0099217B"/>
    <w:rsid w:val="009924E4"/>
    <w:rsid w:val="00994156"/>
    <w:rsid w:val="00994324"/>
    <w:rsid w:val="009951A1"/>
    <w:rsid w:val="00995D32"/>
    <w:rsid w:val="009963E6"/>
    <w:rsid w:val="009975C3"/>
    <w:rsid w:val="009A1167"/>
    <w:rsid w:val="009A1E89"/>
    <w:rsid w:val="009A35D7"/>
    <w:rsid w:val="009A36E7"/>
    <w:rsid w:val="009A3DDC"/>
    <w:rsid w:val="009A4588"/>
    <w:rsid w:val="009A4629"/>
    <w:rsid w:val="009A57C1"/>
    <w:rsid w:val="009A5F00"/>
    <w:rsid w:val="009A63B3"/>
    <w:rsid w:val="009A7C2E"/>
    <w:rsid w:val="009A7F7E"/>
    <w:rsid w:val="009B0803"/>
    <w:rsid w:val="009B0FB6"/>
    <w:rsid w:val="009B1DDD"/>
    <w:rsid w:val="009B1FE6"/>
    <w:rsid w:val="009B2057"/>
    <w:rsid w:val="009B2115"/>
    <w:rsid w:val="009B2772"/>
    <w:rsid w:val="009B32F3"/>
    <w:rsid w:val="009B334B"/>
    <w:rsid w:val="009B4989"/>
    <w:rsid w:val="009B5815"/>
    <w:rsid w:val="009B5828"/>
    <w:rsid w:val="009B63F1"/>
    <w:rsid w:val="009B6AA9"/>
    <w:rsid w:val="009C26B7"/>
    <w:rsid w:val="009C51F2"/>
    <w:rsid w:val="009C58CE"/>
    <w:rsid w:val="009C74F9"/>
    <w:rsid w:val="009D0010"/>
    <w:rsid w:val="009D0622"/>
    <w:rsid w:val="009D16D4"/>
    <w:rsid w:val="009D16E8"/>
    <w:rsid w:val="009D20C0"/>
    <w:rsid w:val="009D32F4"/>
    <w:rsid w:val="009D360F"/>
    <w:rsid w:val="009D4919"/>
    <w:rsid w:val="009D4B31"/>
    <w:rsid w:val="009D532F"/>
    <w:rsid w:val="009D6DC4"/>
    <w:rsid w:val="009D7B18"/>
    <w:rsid w:val="009E0100"/>
    <w:rsid w:val="009E032B"/>
    <w:rsid w:val="009E03C2"/>
    <w:rsid w:val="009E0688"/>
    <w:rsid w:val="009E1C92"/>
    <w:rsid w:val="009E21F2"/>
    <w:rsid w:val="009E255B"/>
    <w:rsid w:val="009E3543"/>
    <w:rsid w:val="009E419D"/>
    <w:rsid w:val="009E637F"/>
    <w:rsid w:val="009E6AE2"/>
    <w:rsid w:val="009E6D59"/>
    <w:rsid w:val="009E7585"/>
    <w:rsid w:val="009F0A1C"/>
    <w:rsid w:val="009F168A"/>
    <w:rsid w:val="009F2800"/>
    <w:rsid w:val="009F3FFC"/>
    <w:rsid w:val="009F417F"/>
    <w:rsid w:val="00A006EA"/>
    <w:rsid w:val="00A00C11"/>
    <w:rsid w:val="00A01E22"/>
    <w:rsid w:val="00A02AAF"/>
    <w:rsid w:val="00A02F78"/>
    <w:rsid w:val="00A03139"/>
    <w:rsid w:val="00A038CF"/>
    <w:rsid w:val="00A03A0E"/>
    <w:rsid w:val="00A05514"/>
    <w:rsid w:val="00A05BEB"/>
    <w:rsid w:val="00A06073"/>
    <w:rsid w:val="00A06356"/>
    <w:rsid w:val="00A069CE"/>
    <w:rsid w:val="00A06BC9"/>
    <w:rsid w:val="00A1119A"/>
    <w:rsid w:val="00A12A0C"/>
    <w:rsid w:val="00A12B6B"/>
    <w:rsid w:val="00A13166"/>
    <w:rsid w:val="00A144DB"/>
    <w:rsid w:val="00A14D23"/>
    <w:rsid w:val="00A15170"/>
    <w:rsid w:val="00A16B76"/>
    <w:rsid w:val="00A16CB7"/>
    <w:rsid w:val="00A1741D"/>
    <w:rsid w:val="00A17C5F"/>
    <w:rsid w:val="00A2055A"/>
    <w:rsid w:val="00A20AE8"/>
    <w:rsid w:val="00A2134A"/>
    <w:rsid w:val="00A21C32"/>
    <w:rsid w:val="00A21D9D"/>
    <w:rsid w:val="00A23213"/>
    <w:rsid w:val="00A233E2"/>
    <w:rsid w:val="00A234C9"/>
    <w:rsid w:val="00A242BF"/>
    <w:rsid w:val="00A250C8"/>
    <w:rsid w:val="00A25AD0"/>
    <w:rsid w:val="00A25F3B"/>
    <w:rsid w:val="00A26141"/>
    <w:rsid w:val="00A264C7"/>
    <w:rsid w:val="00A26809"/>
    <w:rsid w:val="00A27084"/>
    <w:rsid w:val="00A27A70"/>
    <w:rsid w:val="00A27C08"/>
    <w:rsid w:val="00A303FB"/>
    <w:rsid w:val="00A30683"/>
    <w:rsid w:val="00A31346"/>
    <w:rsid w:val="00A316F0"/>
    <w:rsid w:val="00A31A88"/>
    <w:rsid w:val="00A323C2"/>
    <w:rsid w:val="00A32647"/>
    <w:rsid w:val="00A329EF"/>
    <w:rsid w:val="00A34528"/>
    <w:rsid w:val="00A34579"/>
    <w:rsid w:val="00A351D3"/>
    <w:rsid w:val="00A3571B"/>
    <w:rsid w:val="00A35B31"/>
    <w:rsid w:val="00A35C6C"/>
    <w:rsid w:val="00A360A6"/>
    <w:rsid w:val="00A3667D"/>
    <w:rsid w:val="00A36B19"/>
    <w:rsid w:val="00A40C72"/>
    <w:rsid w:val="00A4381F"/>
    <w:rsid w:val="00A43B37"/>
    <w:rsid w:val="00A445E1"/>
    <w:rsid w:val="00A4472F"/>
    <w:rsid w:val="00A44882"/>
    <w:rsid w:val="00A44ED9"/>
    <w:rsid w:val="00A45084"/>
    <w:rsid w:val="00A4542A"/>
    <w:rsid w:val="00A45974"/>
    <w:rsid w:val="00A45CFF"/>
    <w:rsid w:val="00A45EA2"/>
    <w:rsid w:val="00A45F47"/>
    <w:rsid w:val="00A46EA2"/>
    <w:rsid w:val="00A47B54"/>
    <w:rsid w:val="00A502FE"/>
    <w:rsid w:val="00A513A8"/>
    <w:rsid w:val="00A53CC6"/>
    <w:rsid w:val="00A55BB0"/>
    <w:rsid w:val="00A5663E"/>
    <w:rsid w:val="00A56923"/>
    <w:rsid w:val="00A57B6D"/>
    <w:rsid w:val="00A604EC"/>
    <w:rsid w:val="00A616E6"/>
    <w:rsid w:val="00A61B59"/>
    <w:rsid w:val="00A62D87"/>
    <w:rsid w:val="00A643C1"/>
    <w:rsid w:val="00A65D3F"/>
    <w:rsid w:val="00A65EE4"/>
    <w:rsid w:val="00A7080F"/>
    <w:rsid w:val="00A712BB"/>
    <w:rsid w:val="00A717CD"/>
    <w:rsid w:val="00A737A4"/>
    <w:rsid w:val="00A73ED3"/>
    <w:rsid w:val="00A74326"/>
    <w:rsid w:val="00A756F2"/>
    <w:rsid w:val="00A75B7C"/>
    <w:rsid w:val="00A76731"/>
    <w:rsid w:val="00A771B9"/>
    <w:rsid w:val="00A77A0C"/>
    <w:rsid w:val="00A80ED5"/>
    <w:rsid w:val="00A819ED"/>
    <w:rsid w:val="00A81D89"/>
    <w:rsid w:val="00A83A56"/>
    <w:rsid w:val="00A84062"/>
    <w:rsid w:val="00A85C97"/>
    <w:rsid w:val="00A8665B"/>
    <w:rsid w:val="00A86D2D"/>
    <w:rsid w:val="00A877A1"/>
    <w:rsid w:val="00A87D77"/>
    <w:rsid w:val="00A87E69"/>
    <w:rsid w:val="00A910A1"/>
    <w:rsid w:val="00A918B0"/>
    <w:rsid w:val="00A925AD"/>
    <w:rsid w:val="00A9404C"/>
    <w:rsid w:val="00A953BB"/>
    <w:rsid w:val="00A95AD1"/>
    <w:rsid w:val="00A95F44"/>
    <w:rsid w:val="00A96810"/>
    <w:rsid w:val="00AA25EE"/>
    <w:rsid w:val="00AA6587"/>
    <w:rsid w:val="00AA7B07"/>
    <w:rsid w:val="00AB0C51"/>
    <w:rsid w:val="00AB142F"/>
    <w:rsid w:val="00AB14E9"/>
    <w:rsid w:val="00AB2854"/>
    <w:rsid w:val="00AB33D7"/>
    <w:rsid w:val="00AB370C"/>
    <w:rsid w:val="00AB4A5E"/>
    <w:rsid w:val="00AB634C"/>
    <w:rsid w:val="00AB72AF"/>
    <w:rsid w:val="00AC0847"/>
    <w:rsid w:val="00AC166F"/>
    <w:rsid w:val="00AC18AC"/>
    <w:rsid w:val="00AC2877"/>
    <w:rsid w:val="00AC3391"/>
    <w:rsid w:val="00AC4DBB"/>
    <w:rsid w:val="00AC5733"/>
    <w:rsid w:val="00AC586C"/>
    <w:rsid w:val="00AC5C79"/>
    <w:rsid w:val="00AC7B2A"/>
    <w:rsid w:val="00AD117F"/>
    <w:rsid w:val="00AD271B"/>
    <w:rsid w:val="00AD2AFE"/>
    <w:rsid w:val="00AD358F"/>
    <w:rsid w:val="00AD5040"/>
    <w:rsid w:val="00AD5969"/>
    <w:rsid w:val="00AD62EF"/>
    <w:rsid w:val="00AD63FD"/>
    <w:rsid w:val="00AD6D5B"/>
    <w:rsid w:val="00AE2384"/>
    <w:rsid w:val="00AE2B83"/>
    <w:rsid w:val="00AE3259"/>
    <w:rsid w:val="00AE367F"/>
    <w:rsid w:val="00AE4E8E"/>
    <w:rsid w:val="00AE55D2"/>
    <w:rsid w:val="00AE5DC2"/>
    <w:rsid w:val="00AE6483"/>
    <w:rsid w:val="00AE6C5A"/>
    <w:rsid w:val="00AE77E5"/>
    <w:rsid w:val="00AE79CD"/>
    <w:rsid w:val="00AE7BB8"/>
    <w:rsid w:val="00AF0D16"/>
    <w:rsid w:val="00AF1D50"/>
    <w:rsid w:val="00AF20A9"/>
    <w:rsid w:val="00AF267A"/>
    <w:rsid w:val="00AF290F"/>
    <w:rsid w:val="00AF520D"/>
    <w:rsid w:val="00AF64EB"/>
    <w:rsid w:val="00AF6D26"/>
    <w:rsid w:val="00B006E7"/>
    <w:rsid w:val="00B02788"/>
    <w:rsid w:val="00B02AF1"/>
    <w:rsid w:val="00B03067"/>
    <w:rsid w:val="00B03F4A"/>
    <w:rsid w:val="00B04A9E"/>
    <w:rsid w:val="00B05CED"/>
    <w:rsid w:val="00B06250"/>
    <w:rsid w:val="00B07432"/>
    <w:rsid w:val="00B0777D"/>
    <w:rsid w:val="00B10D33"/>
    <w:rsid w:val="00B12B10"/>
    <w:rsid w:val="00B12BDC"/>
    <w:rsid w:val="00B1318D"/>
    <w:rsid w:val="00B13797"/>
    <w:rsid w:val="00B13AF4"/>
    <w:rsid w:val="00B1416B"/>
    <w:rsid w:val="00B1493B"/>
    <w:rsid w:val="00B14E58"/>
    <w:rsid w:val="00B1517C"/>
    <w:rsid w:val="00B15E24"/>
    <w:rsid w:val="00B16F18"/>
    <w:rsid w:val="00B17262"/>
    <w:rsid w:val="00B175A3"/>
    <w:rsid w:val="00B20018"/>
    <w:rsid w:val="00B2117F"/>
    <w:rsid w:val="00B2143B"/>
    <w:rsid w:val="00B233D8"/>
    <w:rsid w:val="00B23984"/>
    <w:rsid w:val="00B26125"/>
    <w:rsid w:val="00B2631B"/>
    <w:rsid w:val="00B2677B"/>
    <w:rsid w:val="00B26E89"/>
    <w:rsid w:val="00B272CD"/>
    <w:rsid w:val="00B27371"/>
    <w:rsid w:val="00B27F14"/>
    <w:rsid w:val="00B302BC"/>
    <w:rsid w:val="00B304E3"/>
    <w:rsid w:val="00B30CAC"/>
    <w:rsid w:val="00B32006"/>
    <w:rsid w:val="00B3452C"/>
    <w:rsid w:val="00B345FB"/>
    <w:rsid w:val="00B35987"/>
    <w:rsid w:val="00B36CC0"/>
    <w:rsid w:val="00B37476"/>
    <w:rsid w:val="00B37BF6"/>
    <w:rsid w:val="00B37FC3"/>
    <w:rsid w:val="00B4067A"/>
    <w:rsid w:val="00B40B6A"/>
    <w:rsid w:val="00B40BE1"/>
    <w:rsid w:val="00B40C65"/>
    <w:rsid w:val="00B40FD3"/>
    <w:rsid w:val="00B423B7"/>
    <w:rsid w:val="00B44EE2"/>
    <w:rsid w:val="00B45018"/>
    <w:rsid w:val="00B45856"/>
    <w:rsid w:val="00B45FE4"/>
    <w:rsid w:val="00B4632B"/>
    <w:rsid w:val="00B46B24"/>
    <w:rsid w:val="00B46B2A"/>
    <w:rsid w:val="00B4707E"/>
    <w:rsid w:val="00B470EE"/>
    <w:rsid w:val="00B5023A"/>
    <w:rsid w:val="00B5212E"/>
    <w:rsid w:val="00B52F9F"/>
    <w:rsid w:val="00B53D39"/>
    <w:rsid w:val="00B53E85"/>
    <w:rsid w:val="00B5494D"/>
    <w:rsid w:val="00B56A55"/>
    <w:rsid w:val="00B56FD7"/>
    <w:rsid w:val="00B574BD"/>
    <w:rsid w:val="00B57F77"/>
    <w:rsid w:val="00B60253"/>
    <w:rsid w:val="00B62E9E"/>
    <w:rsid w:val="00B634ED"/>
    <w:rsid w:val="00B63919"/>
    <w:rsid w:val="00B64CD6"/>
    <w:rsid w:val="00B66A43"/>
    <w:rsid w:val="00B709B0"/>
    <w:rsid w:val="00B7114C"/>
    <w:rsid w:val="00B72A75"/>
    <w:rsid w:val="00B72AFD"/>
    <w:rsid w:val="00B72FB6"/>
    <w:rsid w:val="00B73FA2"/>
    <w:rsid w:val="00B74E43"/>
    <w:rsid w:val="00B75628"/>
    <w:rsid w:val="00B802A4"/>
    <w:rsid w:val="00B80838"/>
    <w:rsid w:val="00B80FC9"/>
    <w:rsid w:val="00B81352"/>
    <w:rsid w:val="00B8191D"/>
    <w:rsid w:val="00B81A1C"/>
    <w:rsid w:val="00B81E39"/>
    <w:rsid w:val="00B8251F"/>
    <w:rsid w:val="00B826D3"/>
    <w:rsid w:val="00B83294"/>
    <w:rsid w:val="00B83347"/>
    <w:rsid w:val="00B834AE"/>
    <w:rsid w:val="00B84F29"/>
    <w:rsid w:val="00B856AB"/>
    <w:rsid w:val="00B85D0A"/>
    <w:rsid w:val="00B861B6"/>
    <w:rsid w:val="00B87306"/>
    <w:rsid w:val="00B87779"/>
    <w:rsid w:val="00B9071D"/>
    <w:rsid w:val="00B909C6"/>
    <w:rsid w:val="00B90AE0"/>
    <w:rsid w:val="00B90B40"/>
    <w:rsid w:val="00B921CF"/>
    <w:rsid w:val="00B92E5C"/>
    <w:rsid w:val="00B93A8F"/>
    <w:rsid w:val="00B942DB"/>
    <w:rsid w:val="00B94F26"/>
    <w:rsid w:val="00B95AF2"/>
    <w:rsid w:val="00B973A7"/>
    <w:rsid w:val="00B97691"/>
    <w:rsid w:val="00BA197D"/>
    <w:rsid w:val="00BA1CF8"/>
    <w:rsid w:val="00BA2094"/>
    <w:rsid w:val="00BA2544"/>
    <w:rsid w:val="00BA34CD"/>
    <w:rsid w:val="00BA485A"/>
    <w:rsid w:val="00BA7986"/>
    <w:rsid w:val="00BB056D"/>
    <w:rsid w:val="00BB0CE9"/>
    <w:rsid w:val="00BB1B12"/>
    <w:rsid w:val="00BB1BB0"/>
    <w:rsid w:val="00BB2B93"/>
    <w:rsid w:val="00BB2F20"/>
    <w:rsid w:val="00BB3215"/>
    <w:rsid w:val="00BB3283"/>
    <w:rsid w:val="00BB3A99"/>
    <w:rsid w:val="00BB76E0"/>
    <w:rsid w:val="00BB7C5E"/>
    <w:rsid w:val="00BB7DBB"/>
    <w:rsid w:val="00BC1E4B"/>
    <w:rsid w:val="00BC253C"/>
    <w:rsid w:val="00BC3A1E"/>
    <w:rsid w:val="00BC41E1"/>
    <w:rsid w:val="00BC45D2"/>
    <w:rsid w:val="00BC5D3C"/>
    <w:rsid w:val="00BC7C40"/>
    <w:rsid w:val="00BD05B3"/>
    <w:rsid w:val="00BD1778"/>
    <w:rsid w:val="00BD2F9C"/>
    <w:rsid w:val="00BD4292"/>
    <w:rsid w:val="00BD4899"/>
    <w:rsid w:val="00BD5E1D"/>
    <w:rsid w:val="00BD62F1"/>
    <w:rsid w:val="00BD7059"/>
    <w:rsid w:val="00BE005D"/>
    <w:rsid w:val="00BE2A21"/>
    <w:rsid w:val="00BE2A81"/>
    <w:rsid w:val="00BE3F51"/>
    <w:rsid w:val="00BE465F"/>
    <w:rsid w:val="00BE47E2"/>
    <w:rsid w:val="00BE49C2"/>
    <w:rsid w:val="00BE709A"/>
    <w:rsid w:val="00BF19AB"/>
    <w:rsid w:val="00BF2DD5"/>
    <w:rsid w:val="00BF3639"/>
    <w:rsid w:val="00BF4110"/>
    <w:rsid w:val="00BF4EDB"/>
    <w:rsid w:val="00BF591E"/>
    <w:rsid w:val="00BF7A68"/>
    <w:rsid w:val="00C0100E"/>
    <w:rsid w:val="00C03B87"/>
    <w:rsid w:val="00C04C81"/>
    <w:rsid w:val="00C05E84"/>
    <w:rsid w:val="00C062CB"/>
    <w:rsid w:val="00C069BA"/>
    <w:rsid w:val="00C07E05"/>
    <w:rsid w:val="00C1077E"/>
    <w:rsid w:val="00C1093D"/>
    <w:rsid w:val="00C1128E"/>
    <w:rsid w:val="00C11BD5"/>
    <w:rsid w:val="00C121EA"/>
    <w:rsid w:val="00C12465"/>
    <w:rsid w:val="00C126F6"/>
    <w:rsid w:val="00C12B2F"/>
    <w:rsid w:val="00C1453E"/>
    <w:rsid w:val="00C1608A"/>
    <w:rsid w:val="00C16481"/>
    <w:rsid w:val="00C17175"/>
    <w:rsid w:val="00C1779E"/>
    <w:rsid w:val="00C1779F"/>
    <w:rsid w:val="00C20604"/>
    <w:rsid w:val="00C207DD"/>
    <w:rsid w:val="00C21835"/>
    <w:rsid w:val="00C21A07"/>
    <w:rsid w:val="00C22312"/>
    <w:rsid w:val="00C2273F"/>
    <w:rsid w:val="00C23F1F"/>
    <w:rsid w:val="00C24A28"/>
    <w:rsid w:val="00C24A49"/>
    <w:rsid w:val="00C24C39"/>
    <w:rsid w:val="00C24EEA"/>
    <w:rsid w:val="00C2522D"/>
    <w:rsid w:val="00C266FA"/>
    <w:rsid w:val="00C3041D"/>
    <w:rsid w:val="00C307C8"/>
    <w:rsid w:val="00C31E33"/>
    <w:rsid w:val="00C34755"/>
    <w:rsid w:val="00C34E2B"/>
    <w:rsid w:val="00C3595E"/>
    <w:rsid w:val="00C360BF"/>
    <w:rsid w:val="00C36DEF"/>
    <w:rsid w:val="00C4036E"/>
    <w:rsid w:val="00C4128E"/>
    <w:rsid w:val="00C412D6"/>
    <w:rsid w:val="00C415A8"/>
    <w:rsid w:val="00C41B85"/>
    <w:rsid w:val="00C425B5"/>
    <w:rsid w:val="00C4368D"/>
    <w:rsid w:val="00C43A33"/>
    <w:rsid w:val="00C440D2"/>
    <w:rsid w:val="00C44501"/>
    <w:rsid w:val="00C44BE8"/>
    <w:rsid w:val="00C44D14"/>
    <w:rsid w:val="00C44D3A"/>
    <w:rsid w:val="00C453F7"/>
    <w:rsid w:val="00C45A86"/>
    <w:rsid w:val="00C46EB3"/>
    <w:rsid w:val="00C5014C"/>
    <w:rsid w:val="00C5035A"/>
    <w:rsid w:val="00C50729"/>
    <w:rsid w:val="00C5278C"/>
    <w:rsid w:val="00C52EC6"/>
    <w:rsid w:val="00C52ED9"/>
    <w:rsid w:val="00C55092"/>
    <w:rsid w:val="00C554E4"/>
    <w:rsid w:val="00C55AE6"/>
    <w:rsid w:val="00C55C1F"/>
    <w:rsid w:val="00C5767E"/>
    <w:rsid w:val="00C5777C"/>
    <w:rsid w:val="00C57971"/>
    <w:rsid w:val="00C60144"/>
    <w:rsid w:val="00C60BF8"/>
    <w:rsid w:val="00C60DDF"/>
    <w:rsid w:val="00C616A3"/>
    <w:rsid w:val="00C641A3"/>
    <w:rsid w:val="00C64BEF"/>
    <w:rsid w:val="00C650A0"/>
    <w:rsid w:val="00C65287"/>
    <w:rsid w:val="00C66AF6"/>
    <w:rsid w:val="00C6724F"/>
    <w:rsid w:val="00C678B0"/>
    <w:rsid w:val="00C702A0"/>
    <w:rsid w:val="00C70BEE"/>
    <w:rsid w:val="00C720F3"/>
    <w:rsid w:val="00C74BEC"/>
    <w:rsid w:val="00C7504A"/>
    <w:rsid w:val="00C752AB"/>
    <w:rsid w:val="00C762F8"/>
    <w:rsid w:val="00C772D7"/>
    <w:rsid w:val="00C82209"/>
    <w:rsid w:val="00C82809"/>
    <w:rsid w:val="00C8329B"/>
    <w:rsid w:val="00C835C1"/>
    <w:rsid w:val="00C84553"/>
    <w:rsid w:val="00C85081"/>
    <w:rsid w:val="00C857A5"/>
    <w:rsid w:val="00C85DBB"/>
    <w:rsid w:val="00C86F2B"/>
    <w:rsid w:val="00C8726C"/>
    <w:rsid w:val="00C8751C"/>
    <w:rsid w:val="00C875C4"/>
    <w:rsid w:val="00C87AB5"/>
    <w:rsid w:val="00C87F6E"/>
    <w:rsid w:val="00C904C5"/>
    <w:rsid w:val="00C907E7"/>
    <w:rsid w:val="00C9180D"/>
    <w:rsid w:val="00C924BB"/>
    <w:rsid w:val="00C9334B"/>
    <w:rsid w:val="00C94264"/>
    <w:rsid w:val="00C944CE"/>
    <w:rsid w:val="00C94808"/>
    <w:rsid w:val="00C94BDC"/>
    <w:rsid w:val="00C94CB6"/>
    <w:rsid w:val="00C94F2C"/>
    <w:rsid w:val="00C951B4"/>
    <w:rsid w:val="00C953F8"/>
    <w:rsid w:val="00C95FCD"/>
    <w:rsid w:val="00CA0003"/>
    <w:rsid w:val="00CA03E6"/>
    <w:rsid w:val="00CA2B7C"/>
    <w:rsid w:val="00CA4558"/>
    <w:rsid w:val="00CA48CB"/>
    <w:rsid w:val="00CA5777"/>
    <w:rsid w:val="00CA5882"/>
    <w:rsid w:val="00CA58AC"/>
    <w:rsid w:val="00CA58E2"/>
    <w:rsid w:val="00CA69D0"/>
    <w:rsid w:val="00CA7226"/>
    <w:rsid w:val="00CA73E1"/>
    <w:rsid w:val="00CA7804"/>
    <w:rsid w:val="00CA7C7E"/>
    <w:rsid w:val="00CA7E96"/>
    <w:rsid w:val="00CB0CA2"/>
    <w:rsid w:val="00CB0E87"/>
    <w:rsid w:val="00CB1348"/>
    <w:rsid w:val="00CB1402"/>
    <w:rsid w:val="00CB14FA"/>
    <w:rsid w:val="00CB23A0"/>
    <w:rsid w:val="00CB30A9"/>
    <w:rsid w:val="00CB4BAD"/>
    <w:rsid w:val="00CB6CA0"/>
    <w:rsid w:val="00CB72E7"/>
    <w:rsid w:val="00CC015B"/>
    <w:rsid w:val="00CC08B5"/>
    <w:rsid w:val="00CC2887"/>
    <w:rsid w:val="00CC3DAF"/>
    <w:rsid w:val="00CC3E23"/>
    <w:rsid w:val="00CC3E2E"/>
    <w:rsid w:val="00CC4625"/>
    <w:rsid w:val="00CC4632"/>
    <w:rsid w:val="00CC47DC"/>
    <w:rsid w:val="00CC573A"/>
    <w:rsid w:val="00CC599A"/>
    <w:rsid w:val="00CC5FFD"/>
    <w:rsid w:val="00CC6D49"/>
    <w:rsid w:val="00CC7327"/>
    <w:rsid w:val="00CD0072"/>
    <w:rsid w:val="00CD04F1"/>
    <w:rsid w:val="00CD1896"/>
    <w:rsid w:val="00CD1EBF"/>
    <w:rsid w:val="00CD219C"/>
    <w:rsid w:val="00CD2390"/>
    <w:rsid w:val="00CD302A"/>
    <w:rsid w:val="00CD5A70"/>
    <w:rsid w:val="00CD5D5D"/>
    <w:rsid w:val="00CD61EB"/>
    <w:rsid w:val="00CD67B8"/>
    <w:rsid w:val="00CD7773"/>
    <w:rsid w:val="00CD7782"/>
    <w:rsid w:val="00CE13BB"/>
    <w:rsid w:val="00CE13F3"/>
    <w:rsid w:val="00CE2391"/>
    <w:rsid w:val="00CE3D97"/>
    <w:rsid w:val="00CE43EC"/>
    <w:rsid w:val="00CE4D37"/>
    <w:rsid w:val="00CE659B"/>
    <w:rsid w:val="00CF0D20"/>
    <w:rsid w:val="00CF12C3"/>
    <w:rsid w:val="00CF136A"/>
    <w:rsid w:val="00CF1B29"/>
    <w:rsid w:val="00CF1F41"/>
    <w:rsid w:val="00CF4320"/>
    <w:rsid w:val="00CF4415"/>
    <w:rsid w:val="00CF45BE"/>
    <w:rsid w:val="00CF6DE2"/>
    <w:rsid w:val="00CF78AC"/>
    <w:rsid w:val="00D004B5"/>
    <w:rsid w:val="00D00E60"/>
    <w:rsid w:val="00D01811"/>
    <w:rsid w:val="00D01BEE"/>
    <w:rsid w:val="00D02002"/>
    <w:rsid w:val="00D0233B"/>
    <w:rsid w:val="00D029B3"/>
    <w:rsid w:val="00D0371D"/>
    <w:rsid w:val="00D03769"/>
    <w:rsid w:val="00D040B5"/>
    <w:rsid w:val="00D042B3"/>
    <w:rsid w:val="00D04949"/>
    <w:rsid w:val="00D04D79"/>
    <w:rsid w:val="00D067A2"/>
    <w:rsid w:val="00D06C3B"/>
    <w:rsid w:val="00D06DC2"/>
    <w:rsid w:val="00D100F4"/>
    <w:rsid w:val="00D109C1"/>
    <w:rsid w:val="00D119F2"/>
    <w:rsid w:val="00D124C3"/>
    <w:rsid w:val="00D12C21"/>
    <w:rsid w:val="00D12E06"/>
    <w:rsid w:val="00D1524F"/>
    <w:rsid w:val="00D16C32"/>
    <w:rsid w:val="00D203CD"/>
    <w:rsid w:val="00D20892"/>
    <w:rsid w:val="00D208AA"/>
    <w:rsid w:val="00D22A09"/>
    <w:rsid w:val="00D22C8E"/>
    <w:rsid w:val="00D22F9C"/>
    <w:rsid w:val="00D23153"/>
    <w:rsid w:val="00D23EAD"/>
    <w:rsid w:val="00D23F2C"/>
    <w:rsid w:val="00D23FC3"/>
    <w:rsid w:val="00D241AA"/>
    <w:rsid w:val="00D242D2"/>
    <w:rsid w:val="00D2467E"/>
    <w:rsid w:val="00D255CC"/>
    <w:rsid w:val="00D2597E"/>
    <w:rsid w:val="00D26DB0"/>
    <w:rsid w:val="00D276C5"/>
    <w:rsid w:val="00D30B3C"/>
    <w:rsid w:val="00D320C9"/>
    <w:rsid w:val="00D328EE"/>
    <w:rsid w:val="00D334A5"/>
    <w:rsid w:val="00D34150"/>
    <w:rsid w:val="00D34B6B"/>
    <w:rsid w:val="00D36ABB"/>
    <w:rsid w:val="00D37D90"/>
    <w:rsid w:val="00D37E76"/>
    <w:rsid w:val="00D4014E"/>
    <w:rsid w:val="00D40CE3"/>
    <w:rsid w:val="00D4134F"/>
    <w:rsid w:val="00D41D2E"/>
    <w:rsid w:val="00D42BFA"/>
    <w:rsid w:val="00D430E4"/>
    <w:rsid w:val="00D43AC8"/>
    <w:rsid w:val="00D4454A"/>
    <w:rsid w:val="00D44B93"/>
    <w:rsid w:val="00D45562"/>
    <w:rsid w:val="00D4693F"/>
    <w:rsid w:val="00D46ADC"/>
    <w:rsid w:val="00D46BE0"/>
    <w:rsid w:val="00D46E81"/>
    <w:rsid w:val="00D47204"/>
    <w:rsid w:val="00D4746E"/>
    <w:rsid w:val="00D50B00"/>
    <w:rsid w:val="00D50E18"/>
    <w:rsid w:val="00D51BBF"/>
    <w:rsid w:val="00D52912"/>
    <w:rsid w:val="00D52985"/>
    <w:rsid w:val="00D52B36"/>
    <w:rsid w:val="00D53403"/>
    <w:rsid w:val="00D53550"/>
    <w:rsid w:val="00D53B18"/>
    <w:rsid w:val="00D54067"/>
    <w:rsid w:val="00D545DE"/>
    <w:rsid w:val="00D5461B"/>
    <w:rsid w:val="00D55DDF"/>
    <w:rsid w:val="00D560FC"/>
    <w:rsid w:val="00D562DC"/>
    <w:rsid w:val="00D5637C"/>
    <w:rsid w:val="00D5647F"/>
    <w:rsid w:val="00D5784C"/>
    <w:rsid w:val="00D601AA"/>
    <w:rsid w:val="00D607EC"/>
    <w:rsid w:val="00D61BD5"/>
    <w:rsid w:val="00D62611"/>
    <w:rsid w:val="00D626A1"/>
    <w:rsid w:val="00D62A32"/>
    <w:rsid w:val="00D62A3A"/>
    <w:rsid w:val="00D63538"/>
    <w:rsid w:val="00D63588"/>
    <w:rsid w:val="00D635CB"/>
    <w:rsid w:val="00D657AC"/>
    <w:rsid w:val="00D67164"/>
    <w:rsid w:val="00D672C1"/>
    <w:rsid w:val="00D70694"/>
    <w:rsid w:val="00D713AC"/>
    <w:rsid w:val="00D71F46"/>
    <w:rsid w:val="00D72659"/>
    <w:rsid w:val="00D743B9"/>
    <w:rsid w:val="00D755CE"/>
    <w:rsid w:val="00D777CA"/>
    <w:rsid w:val="00D77BCC"/>
    <w:rsid w:val="00D77E31"/>
    <w:rsid w:val="00D8031E"/>
    <w:rsid w:val="00D80CA3"/>
    <w:rsid w:val="00D810DA"/>
    <w:rsid w:val="00D815F2"/>
    <w:rsid w:val="00D81DB1"/>
    <w:rsid w:val="00D82B3C"/>
    <w:rsid w:val="00D837A1"/>
    <w:rsid w:val="00D8389A"/>
    <w:rsid w:val="00D845BA"/>
    <w:rsid w:val="00D852D3"/>
    <w:rsid w:val="00D8560D"/>
    <w:rsid w:val="00D85AE9"/>
    <w:rsid w:val="00D862E5"/>
    <w:rsid w:val="00D8648A"/>
    <w:rsid w:val="00D865D4"/>
    <w:rsid w:val="00D871D2"/>
    <w:rsid w:val="00D902C7"/>
    <w:rsid w:val="00D92D7F"/>
    <w:rsid w:val="00D92E00"/>
    <w:rsid w:val="00D92FBC"/>
    <w:rsid w:val="00D93D95"/>
    <w:rsid w:val="00D941F5"/>
    <w:rsid w:val="00D97B7F"/>
    <w:rsid w:val="00DA1194"/>
    <w:rsid w:val="00DA232D"/>
    <w:rsid w:val="00DA4CDA"/>
    <w:rsid w:val="00DA5442"/>
    <w:rsid w:val="00DA6009"/>
    <w:rsid w:val="00DA643D"/>
    <w:rsid w:val="00DA7038"/>
    <w:rsid w:val="00DA7D4A"/>
    <w:rsid w:val="00DB03BD"/>
    <w:rsid w:val="00DB09D6"/>
    <w:rsid w:val="00DB0D19"/>
    <w:rsid w:val="00DB0D98"/>
    <w:rsid w:val="00DB0FB7"/>
    <w:rsid w:val="00DB1C06"/>
    <w:rsid w:val="00DB294E"/>
    <w:rsid w:val="00DB3611"/>
    <w:rsid w:val="00DB3F55"/>
    <w:rsid w:val="00DB406A"/>
    <w:rsid w:val="00DB4D07"/>
    <w:rsid w:val="00DB5528"/>
    <w:rsid w:val="00DB5A1A"/>
    <w:rsid w:val="00DB7CF0"/>
    <w:rsid w:val="00DC2400"/>
    <w:rsid w:val="00DC3028"/>
    <w:rsid w:val="00DC3E7F"/>
    <w:rsid w:val="00DC52EC"/>
    <w:rsid w:val="00DC5405"/>
    <w:rsid w:val="00DC5569"/>
    <w:rsid w:val="00DC68F1"/>
    <w:rsid w:val="00DC7830"/>
    <w:rsid w:val="00DC7D84"/>
    <w:rsid w:val="00DD0414"/>
    <w:rsid w:val="00DD092D"/>
    <w:rsid w:val="00DD1A66"/>
    <w:rsid w:val="00DD2D4B"/>
    <w:rsid w:val="00DD2DE7"/>
    <w:rsid w:val="00DD30AF"/>
    <w:rsid w:val="00DD37F3"/>
    <w:rsid w:val="00DD3F00"/>
    <w:rsid w:val="00DD4D28"/>
    <w:rsid w:val="00DD5061"/>
    <w:rsid w:val="00DD5909"/>
    <w:rsid w:val="00DD5E80"/>
    <w:rsid w:val="00DD5F0C"/>
    <w:rsid w:val="00DD60B4"/>
    <w:rsid w:val="00DD63A2"/>
    <w:rsid w:val="00DD63D1"/>
    <w:rsid w:val="00DD6DCE"/>
    <w:rsid w:val="00DD7639"/>
    <w:rsid w:val="00DE007B"/>
    <w:rsid w:val="00DE0C44"/>
    <w:rsid w:val="00DE0D27"/>
    <w:rsid w:val="00DE154D"/>
    <w:rsid w:val="00DE16AA"/>
    <w:rsid w:val="00DE1D3C"/>
    <w:rsid w:val="00DE3CA3"/>
    <w:rsid w:val="00DE484F"/>
    <w:rsid w:val="00DE48ED"/>
    <w:rsid w:val="00DE513F"/>
    <w:rsid w:val="00DE6288"/>
    <w:rsid w:val="00DE67BF"/>
    <w:rsid w:val="00DE6D5C"/>
    <w:rsid w:val="00DE71DA"/>
    <w:rsid w:val="00DE7DB8"/>
    <w:rsid w:val="00DF06B8"/>
    <w:rsid w:val="00DF0A04"/>
    <w:rsid w:val="00DF2EB6"/>
    <w:rsid w:val="00DF2F1F"/>
    <w:rsid w:val="00DF304D"/>
    <w:rsid w:val="00DF41BE"/>
    <w:rsid w:val="00DF4B5A"/>
    <w:rsid w:val="00DF7F5C"/>
    <w:rsid w:val="00E00B82"/>
    <w:rsid w:val="00E011B0"/>
    <w:rsid w:val="00E01D96"/>
    <w:rsid w:val="00E01F47"/>
    <w:rsid w:val="00E0220A"/>
    <w:rsid w:val="00E0340D"/>
    <w:rsid w:val="00E04E49"/>
    <w:rsid w:val="00E05D3D"/>
    <w:rsid w:val="00E07D21"/>
    <w:rsid w:val="00E108FA"/>
    <w:rsid w:val="00E10ACB"/>
    <w:rsid w:val="00E10DC8"/>
    <w:rsid w:val="00E165D1"/>
    <w:rsid w:val="00E167FB"/>
    <w:rsid w:val="00E16D16"/>
    <w:rsid w:val="00E16DFF"/>
    <w:rsid w:val="00E17C60"/>
    <w:rsid w:val="00E20BFB"/>
    <w:rsid w:val="00E21E64"/>
    <w:rsid w:val="00E23F92"/>
    <w:rsid w:val="00E25304"/>
    <w:rsid w:val="00E256DB"/>
    <w:rsid w:val="00E25DEB"/>
    <w:rsid w:val="00E26675"/>
    <w:rsid w:val="00E269C1"/>
    <w:rsid w:val="00E309A0"/>
    <w:rsid w:val="00E31281"/>
    <w:rsid w:val="00E319CD"/>
    <w:rsid w:val="00E32821"/>
    <w:rsid w:val="00E33483"/>
    <w:rsid w:val="00E33D89"/>
    <w:rsid w:val="00E34051"/>
    <w:rsid w:val="00E342BB"/>
    <w:rsid w:val="00E345D0"/>
    <w:rsid w:val="00E35528"/>
    <w:rsid w:val="00E36470"/>
    <w:rsid w:val="00E36AE8"/>
    <w:rsid w:val="00E36E19"/>
    <w:rsid w:val="00E370A5"/>
    <w:rsid w:val="00E37D3A"/>
    <w:rsid w:val="00E400D1"/>
    <w:rsid w:val="00E40142"/>
    <w:rsid w:val="00E41121"/>
    <w:rsid w:val="00E4174C"/>
    <w:rsid w:val="00E4185A"/>
    <w:rsid w:val="00E4254B"/>
    <w:rsid w:val="00E435C6"/>
    <w:rsid w:val="00E437BA"/>
    <w:rsid w:val="00E43FCC"/>
    <w:rsid w:val="00E44B2C"/>
    <w:rsid w:val="00E458DE"/>
    <w:rsid w:val="00E46333"/>
    <w:rsid w:val="00E51617"/>
    <w:rsid w:val="00E51A45"/>
    <w:rsid w:val="00E52B18"/>
    <w:rsid w:val="00E52B95"/>
    <w:rsid w:val="00E52CE1"/>
    <w:rsid w:val="00E5336C"/>
    <w:rsid w:val="00E54716"/>
    <w:rsid w:val="00E54F77"/>
    <w:rsid w:val="00E55A63"/>
    <w:rsid w:val="00E563A9"/>
    <w:rsid w:val="00E569EB"/>
    <w:rsid w:val="00E56D22"/>
    <w:rsid w:val="00E575B9"/>
    <w:rsid w:val="00E57B17"/>
    <w:rsid w:val="00E60769"/>
    <w:rsid w:val="00E61CFC"/>
    <w:rsid w:val="00E62FEB"/>
    <w:rsid w:val="00E63273"/>
    <w:rsid w:val="00E638DF"/>
    <w:rsid w:val="00E659E1"/>
    <w:rsid w:val="00E65B73"/>
    <w:rsid w:val="00E65BB8"/>
    <w:rsid w:val="00E667B0"/>
    <w:rsid w:val="00E66AD4"/>
    <w:rsid w:val="00E70832"/>
    <w:rsid w:val="00E70C28"/>
    <w:rsid w:val="00E716C8"/>
    <w:rsid w:val="00E7439F"/>
    <w:rsid w:val="00E74882"/>
    <w:rsid w:val="00E75A1F"/>
    <w:rsid w:val="00E7633C"/>
    <w:rsid w:val="00E768F2"/>
    <w:rsid w:val="00E77485"/>
    <w:rsid w:val="00E77ED2"/>
    <w:rsid w:val="00E803D2"/>
    <w:rsid w:val="00E8176A"/>
    <w:rsid w:val="00E81A12"/>
    <w:rsid w:val="00E82724"/>
    <w:rsid w:val="00E84906"/>
    <w:rsid w:val="00E857CC"/>
    <w:rsid w:val="00E85AFE"/>
    <w:rsid w:val="00E8777B"/>
    <w:rsid w:val="00E90418"/>
    <w:rsid w:val="00E90463"/>
    <w:rsid w:val="00E9071A"/>
    <w:rsid w:val="00E923B7"/>
    <w:rsid w:val="00E9246B"/>
    <w:rsid w:val="00E92A12"/>
    <w:rsid w:val="00E92AE9"/>
    <w:rsid w:val="00E93250"/>
    <w:rsid w:val="00E93FAA"/>
    <w:rsid w:val="00E94B19"/>
    <w:rsid w:val="00E94C28"/>
    <w:rsid w:val="00E9727F"/>
    <w:rsid w:val="00EA0B56"/>
    <w:rsid w:val="00EA2339"/>
    <w:rsid w:val="00EA42EF"/>
    <w:rsid w:val="00EA4A7A"/>
    <w:rsid w:val="00EA4D6C"/>
    <w:rsid w:val="00EA56C6"/>
    <w:rsid w:val="00EA6934"/>
    <w:rsid w:val="00EA7E9F"/>
    <w:rsid w:val="00EB0024"/>
    <w:rsid w:val="00EB2449"/>
    <w:rsid w:val="00EB24F6"/>
    <w:rsid w:val="00EB3579"/>
    <w:rsid w:val="00EB381E"/>
    <w:rsid w:val="00EB47B8"/>
    <w:rsid w:val="00EB5771"/>
    <w:rsid w:val="00EB6110"/>
    <w:rsid w:val="00EB63BC"/>
    <w:rsid w:val="00EB64B2"/>
    <w:rsid w:val="00EB7F9F"/>
    <w:rsid w:val="00EC00C6"/>
    <w:rsid w:val="00EC0614"/>
    <w:rsid w:val="00EC0FA2"/>
    <w:rsid w:val="00EC1176"/>
    <w:rsid w:val="00EC1678"/>
    <w:rsid w:val="00EC1C62"/>
    <w:rsid w:val="00EC22A2"/>
    <w:rsid w:val="00EC2C60"/>
    <w:rsid w:val="00EC5765"/>
    <w:rsid w:val="00EC5F24"/>
    <w:rsid w:val="00EC6912"/>
    <w:rsid w:val="00EC6965"/>
    <w:rsid w:val="00EC7575"/>
    <w:rsid w:val="00EC7842"/>
    <w:rsid w:val="00EC78F1"/>
    <w:rsid w:val="00ED1278"/>
    <w:rsid w:val="00ED1884"/>
    <w:rsid w:val="00ED2F1B"/>
    <w:rsid w:val="00ED34ED"/>
    <w:rsid w:val="00ED3664"/>
    <w:rsid w:val="00ED632B"/>
    <w:rsid w:val="00ED6611"/>
    <w:rsid w:val="00ED6749"/>
    <w:rsid w:val="00ED7686"/>
    <w:rsid w:val="00EE0546"/>
    <w:rsid w:val="00EE24D8"/>
    <w:rsid w:val="00EE34CA"/>
    <w:rsid w:val="00EE53F8"/>
    <w:rsid w:val="00EE6580"/>
    <w:rsid w:val="00EE7173"/>
    <w:rsid w:val="00EE72EF"/>
    <w:rsid w:val="00EE7483"/>
    <w:rsid w:val="00EE7B3D"/>
    <w:rsid w:val="00EF008D"/>
    <w:rsid w:val="00EF0AEF"/>
    <w:rsid w:val="00EF0B5D"/>
    <w:rsid w:val="00EF23A2"/>
    <w:rsid w:val="00EF3FF1"/>
    <w:rsid w:val="00EF4A4F"/>
    <w:rsid w:val="00EF5D15"/>
    <w:rsid w:val="00EF60E4"/>
    <w:rsid w:val="00F01282"/>
    <w:rsid w:val="00F0236C"/>
    <w:rsid w:val="00F023CE"/>
    <w:rsid w:val="00F0261B"/>
    <w:rsid w:val="00F0282F"/>
    <w:rsid w:val="00F039A2"/>
    <w:rsid w:val="00F041E0"/>
    <w:rsid w:val="00F04385"/>
    <w:rsid w:val="00F04834"/>
    <w:rsid w:val="00F05380"/>
    <w:rsid w:val="00F06380"/>
    <w:rsid w:val="00F068C6"/>
    <w:rsid w:val="00F06F28"/>
    <w:rsid w:val="00F0764B"/>
    <w:rsid w:val="00F07AA1"/>
    <w:rsid w:val="00F10061"/>
    <w:rsid w:val="00F10440"/>
    <w:rsid w:val="00F10ECA"/>
    <w:rsid w:val="00F1159C"/>
    <w:rsid w:val="00F132E8"/>
    <w:rsid w:val="00F138C9"/>
    <w:rsid w:val="00F13F8D"/>
    <w:rsid w:val="00F14421"/>
    <w:rsid w:val="00F149B8"/>
    <w:rsid w:val="00F14A38"/>
    <w:rsid w:val="00F15330"/>
    <w:rsid w:val="00F15876"/>
    <w:rsid w:val="00F20154"/>
    <w:rsid w:val="00F207C5"/>
    <w:rsid w:val="00F20F52"/>
    <w:rsid w:val="00F21186"/>
    <w:rsid w:val="00F22077"/>
    <w:rsid w:val="00F22F4D"/>
    <w:rsid w:val="00F25210"/>
    <w:rsid w:val="00F25508"/>
    <w:rsid w:val="00F26823"/>
    <w:rsid w:val="00F26ADF"/>
    <w:rsid w:val="00F26C62"/>
    <w:rsid w:val="00F2708B"/>
    <w:rsid w:val="00F27D5C"/>
    <w:rsid w:val="00F324FA"/>
    <w:rsid w:val="00F32EF8"/>
    <w:rsid w:val="00F32F80"/>
    <w:rsid w:val="00F33B04"/>
    <w:rsid w:val="00F35717"/>
    <w:rsid w:val="00F357B9"/>
    <w:rsid w:val="00F35A56"/>
    <w:rsid w:val="00F35BD9"/>
    <w:rsid w:val="00F3642B"/>
    <w:rsid w:val="00F402BE"/>
    <w:rsid w:val="00F403DA"/>
    <w:rsid w:val="00F40A1C"/>
    <w:rsid w:val="00F411E0"/>
    <w:rsid w:val="00F414C5"/>
    <w:rsid w:val="00F41B2D"/>
    <w:rsid w:val="00F42CE7"/>
    <w:rsid w:val="00F42FD4"/>
    <w:rsid w:val="00F438A9"/>
    <w:rsid w:val="00F43E55"/>
    <w:rsid w:val="00F44F7A"/>
    <w:rsid w:val="00F46AF2"/>
    <w:rsid w:val="00F477A2"/>
    <w:rsid w:val="00F50404"/>
    <w:rsid w:val="00F50C44"/>
    <w:rsid w:val="00F50D1C"/>
    <w:rsid w:val="00F513D1"/>
    <w:rsid w:val="00F514AF"/>
    <w:rsid w:val="00F51FAC"/>
    <w:rsid w:val="00F521E6"/>
    <w:rsid w:val="00F52B90"/>
    <w:rsid w:val="00F53B13"/>
    <w:rsid w:val="00F550FB"/>
    <w:rsid w:val="00F55509"/>
    <w:rsid w:val="00F5569A"/>
    <w:rsid w:val="00F55781"/>
    <w:rsid w:val="00F560E7"/>
    <w:rsid w:val="00F565B1"/>
    <w:rsid w:val="00F56C8C"/>
    <w:rsid w:val="00F56F37"/>
    <w:rsid w:val="00F57D4F"/>
    <w:rsid w:val="00F61F3C"/>
    <w:rsid w:val="00F629DD"/>
    <w:rsid w:val="00F63337"/>
    <w:rsid w:val="00F637F9"/>
    <w:rsid w:val="00F6529E"/>
    <w:rsid w:val="00F66A23"/>
    <w:rsid w:val="00F66A41"/>
    <w:rsid w:val="00F70E12"/>
    <w:rsid w:val="00F71F5B"/>
    <w:rsid w:val="00F72271"/>
    <w:rsid w:val="00F72C5E"/>
    <w:rsid w:val="00F742BF"/>
    <w:rsid w:val="00F75611"/>
    <w:rsid w:val="00F75C55"/>
    <w:rsid w:val="00F7620B"/>
    <w:rsid w:val="00F7642F"/>
    <w:rsid w:val="00F76C26"/>
    <w:rsid w:val="00F77364"/>
    <w:rsid w:val="00F808B8"/>
    <w:rsid w:val="00F8102F"/>
    <w:rsid w:val="00F815F7"/>
    <w:rsid w:val="00F817FA"/>
    <w:rsid w:val="00F84633"/>
    <w:rsid w:val="00F85FCF"/>
    <w:rsid w:val="00F87201"/>
    <w:rsid w:val="00F879C3"/>
    <w:rsid w:val="00F9177C"/>
    <w:rsid w:val="00F91EBB"/>
    <w:rsid w:val="00F92703"/>
    <w:rsid w:val="00F9288D"/>
    <w:rsid w:val="00F93249"/>
    <w:rsid w:val="00F93327"/>
    <w:rsid w:val="00F938FA"/>
    <w:rsid w:val="00F96D0B"/>
    <w:rsid w:val="00FA13DD"/>
    <w:rsid w:val="00FA1423"/>
    <w:rsid w:val="00FA3852"/>
    <w:rsid w:val="00FA3A5F"/>
    <w:rsid w:val="00FA3EA5"/>
    <w:rsid w:val="00FA40FB"/>
    <w:rsid w:val="00FA5FD3"/>
    <w:rsid w:val="00FA78BF"/>
    <w:rsid w:val="00FA7B44"/>
    <w:rsid w:val="00FB05FF"/>
    <w:rsid w:val="00FB0A31"/>
    <w:rsid w:val="00FB135E"/>
    <w:rsid w:val="00FB1696"/>
    <w:rsid w:val="00FB38AB"/>
    <w:rsid w:val="00FB3DFF"/>
    <w:rsid w:val="00FB3F3F"/>
    <w:rsid w:val="00FB4450"/>
    <w:rsid w:val="00FB4E24"/>
    <w:rsid w:val="00FB7827"/>
    <w:rsid w:val="00FB7D53"/>
    <w:rsid w:val="00FC0219"/>
    <w:rsid w:val="00FC04CD"/>
    <w:rsid w:val="00FC065F"/>
    <w:rsid w:val="00FC301F"/>
    <w:rsid w:val="00FC32DD"/>
    <w:rsid w:val="00FC4D12"/>
    <w:rsid w:val="00FC61FB"/>
    <w:rsid w:val="00FC621F"/>
    <w:rsid w:val="00FC7573"/>
    <w:rsid w:val="00FC7DAF"/>
    <w:rsid w:val="00FD0268"/>
    <w:rsid w:val="00FD0A17"/>
    <w:rsid w:val="00FD154D"/>
    <w:rsid w:val="00FD26E2"/>
    <w:rsid w:val="00FD32DE"/>
    <w:rsid w:val="00FD402F"/>
    <w:rsid w:val="00FD4227"/>
    <w:rsid w:val="00FD4B8E"/>
    <w:rsid w:val="00FD4D36"/>
    <w:rsid w:val="00FD78C4"/>
    <w:rsid w:val="00FD79BC"/>
    <w:rsid w:val="00FD7E93"/>
    <w:rsid w:val="00FE367B"/>
    <w:rsid w:val="00FE3B71"/>
    <w:rsid w:val="00FE3DF6"/>
    <w:rsid w:val="00FE3EC2"/>
    <w:rsid w:val="00FE462C"/>
    <w:rsid w:val="00FE483E"/>
    <w:rsid w:val="00FE56A0"/>
    <w:rsid w:val="00FE62CE"/>
    <w:rsid w:val="00FE62E1"/>
    <w:rsid w:val="00FE6997"/>
    <w:rsid w:val="00FF1AD4"/>
    <w:rsid w:val="00FF2287"/>
    <w:rsid w:val="00FF3E14"/>
    <w:rsid w:val="00FF5A16"/>
    <w:rsid w:val="00FF5F5F"/>
    <w:rsid w:val="00FF6036"/>
    <w:rsid w:val="00FF611E"/>
    <w:rsid w:val="00FF649B"/>
    <w:rsid w:val="00FF6D4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0" w:defSemiHidden="0" w:defUnhideWhenUsed="0" w:defQFormat="0" w:count="371">
    <w:lsdException w:name="heading 1"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F"/>
    <w:rPr>
      <w:lang w:val="fr-FR"/>
    </w:rPr>
  </w:style>
  <w:style w:type="paragraph" w:styleId="Titre1">
    <w:name w:val="heading 1"/>
    <w:basedOn w:val="Normal"/>
    <w:next w:val="Normal"/>
    <w:link w:val="Titre1Car"/>
    <w:uiPriority w:val="9"/>
    <w:qFormat/>
    <w:rsid w:val="00FE4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3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38A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tandaard met opsomming"/>
    <w:basedOn w:val="Normal"/>
    <w:link w:val="ParagraphedelisteCar"/>
    <w:uiPriority w:val="34"/>
    <w:qFormat/>
    <w:rsid w:val="00123127"/>
    <w:pPr>
      <w:ind w:left="720"/>
      <w:contextualSpacing/>
    </w:pPr>
  </w:style>
  <w:style w:type="character" w:styleId="Lienhypertexte">
    <w:name w:val="Hyperlink"/>
    <w:basedOn w:val="Policepardfaut"/>
    <w:uiPriority w:val="99"/>
    <w:unhideWhenUsed/>
    <w:rsid w:val="00C11BD5"/>
    <w:rPr>
      <w:color w:val="0000FF" w:themeColor="hyperlink"/>
      <w:u w:val="single"/>
    </w:rPr>
  </w:style>
  <w:style w:type="paragraph" w:styleId="Notedebasdepage">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NotedebasdepageCar"/>
    <w:uiPriority w:val="99"/>
    <w:rsid w:val="00406E8E"/>
    <w:pPr>
      <w:spacing w:line="240" w:lineRule="auto"/>
    </w:pPr>
    <w:rPr>
      <w:rFonts w:ascii="Cambria" w:eastAsia="Times New Roman" w:hAnsi="Cambria" w:cs="Times New Roman"/>
      <w:sz w:val="20"/>
      <w:szCs w:val="20"/>
      <w:lang w:val="en-GB"/>
    </w:rPr>
  </w:style>
  <w:style w:type="character" w:customStyle="1" w:styleId="NotedebasdepageCar">
    <w:name w:val="Note de bas de page Car"/>
    <w:aliases w:val="Footnote Text Char2 Car,Footnote Text Char1 Char Car,Footnote Text Char3 Char Char Car,Footnote Text Char2 Char Char Char Car,Footnote Text Char1 Char1 Char Char Char Car,ft Char1 Char Char Char Char Car,ft Car,f Car"/>
    <w:basedOn w:val="Policepardfaut"/>
    <w:link w:val="Notedebasdepage"/>
    <w:uiPriority w:val="99"/>
    <w:rsid w:val="00406E8E"/>
    <w:rPr>
      <w:rFonts w:ascii="Cambria" w:eastAsia="Times New Roman" w:hAnsi="Cambria" w:cs="Times New Roman"/>
      <w:sz w:val="20"/>
      <w:szCs w:val="20"/>
    </w:rPr>
  </w:style>
  <w:style w:type="character" w:styleId="Appelnotedebasdep">
    <w:name w:val="footnote reference"/>
    <w:aliases w:val="fr,Default Paragraph Font Char Char Char1,Default Paragraph Font Para Char Char Char Char Char1,Default Paragraph Font Char Char11 Char1,Default Paragraph Font Char Char1 Char1,bkVoetnootmarkering,Footnote symbol,Times 10 Point"/>
    <w:uiPriority w:val="99"/>
    <w:qFormat/>
    <w:rsid w:val="00406E8E"/>
    <w:rPr>
      <w:vertAlign w:val="superscript"/>
    </w:rPr>
  </w:style>
  <w:style w:type="paragraph" w:styleId="En-tte">
    <w:name w:val="header"/>
    <w:basedOn w:val="Normal"/>
    <w:link w:val="En-tteCar"/>
    <w:uiPriority w:val="99"/>
    <w:unhideWhenUsed/>
    <w:rsid w:val="00F07AA1"/>
    <w:pPr>
      <w:tabs>
        <w:tab w:val="center" w:pos="4513"/>
        <w:tab w:val="right" w:pos="9026"/>
      </w:tabs>
      <w:spacing w:line="240" w:lineRule="auto"/>
    </w:pPr>
  </w:style>
  <w:style w:type="character" w:customStyle="1" w:styleId="En-tteCar">
    <w:name w:val="En-tête Car"/>
    <w:basedOn w:val="Policepardfaut"/>
    <w:link w:val="En-tte"/>
    <w:uiPriority w:val="99"/>
    <w:rsid w:val="00F07AA1"/>
    <w:rPr>
      <w:lang w:val="fr-FR"/>
    </w:rPr>
  </w:style>
  <w:style w:type="paragraph" w:styleId="Pieddepage">
    <w:name w:val="footer"/>
    <w:basedOn w:val="Normal"/>
    <w:link w:val="PieddepageCar"/>
    <w:uiPriority w:val="99"/>
    <w:unhideWhenUsed/>
    <w:rsid w:val="00F07AA1"/>
    <w:pPr>
      <w:tabs>
        <w:tab w:val="center" w:pos="4513"/>
        <w:tab w:val="right" w:pos="9026"/>
      </w:tabs>
      <w:spacing w:line="240" w:lineRule="auto"/>
    </w:pPr>
  </w:style>
  <w:style w:type="character" w:customStyle="1" w:styleId="PieddepageCar">
    <w:name w:val="Pied de page Car"/>
    <w:basedOn w:val="Policepardfaut"/>
    <w:link w:val="Pieddepage"/>
    <w:uiPriority w:val="99"/>
    <w:rsid w:val="00F07AA1"/>
    <w:rPr>
      <w:lang w:val="fr-FR"/>
    </w:rPr>
  </w:style>
  <w:style w:type="paragraph" w:styleId="Textedebulles">
    <w:name w:val="Balloon Text"/>
    <w:basedOn w:val="Normal"/>
    <w:link w:val="TextedebullesCar"/>
    <w:uiPriority w:val="99"/>
    <w:semiHidden/>
    <w:unhideWhenUsed/>
    <w:rsid w:val="005C1E7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E7E"/>
    <w:rPr>
      <w:rFonts w:ascii="Tahoma" w:hAnsi="Tahoma" w:cs="Tahoma"/>
      <w:sz w:val="16"/>
      <w:szCs w:val="16"/>
      <w:lang w:val="fr-FR"/>
    </w:rPr>
  </w:style>
  <w:style w:type="character" w:customStyle="1" w:styleId="Titre1Car">
    <w:name w:val="Titre 1 Car"/>
    <w:basedOn w:val="Policepardfaut"/>
    <w:link w:val="Titre1"/>
    <w:uiPriority w:val="9"/>
    <w:rsid w:val="00FE483E"/>
    <w:rPr>
      <w:rFonts w:asciiTheme="majorHAnsi" w:eastAsiaTheme="majorEastAsia" w:hAnsiTheme="majorHAnsi" w:cstheme="majorBidi"/>
      <w:b/>
      <w:bCs/>
      <w:color w:val="365F91" w:themeColor="accent1" w:themeShade="BF"/>
      <w:sz w:val="28"/>
      <w:szCs w:val="28"/>
      <w:lang w:val="fr-FR"/>
    </w:rPr>
  </w:style>
  <w:style w:type="character" w:styleId="Numrodepage">
    <w:name w:val="page number"/>
    <w:basedOn w:val="Policepardfaut"/>
    <w:uiPriority w:val="99"/>
    <w:unhideWhenUsed/>
    <w:rsid w:val="00FE483E"/>
  </w:style>
  <w:style w:type="character" w:customStyle="1" w:styleId="hps">
    <w:name w:val="hps"/>
    <w:basedOn w:val="Policepardfaut"/>
    <w:rsid w:val="003B5EFB"/>
  </w:style>
  <w:style w:type="character" w:customStyle="1" w:styleId="atn">
    <w:name w:val="atn"/>
    <w:basedOn w:val="Policepardfaut"/>
    <w:rsid w:val="000C37C7"/>
  </w:style>
  <w:style w:type="table" w:styleId="Grilledutableau">
    <w:name w:val="Table Grid"/>
    <w:basedOn w:val="TableauNormal"/>
    <w:uiPriority w:val="99"/>
    <w:rsid w:val="00D4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E05D3D"/>
    <w:pPr>
      <w:widowControl w:val="0"/>
      <w:tabs>
        <w:tab w:val="left" w:pos="567"/>
      </w:tabs>
      <w:spacing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99"/>
    <w:qFormat/>
    <w:rsid w:val="00164577"/>
    <w:rPr>
      <w:rFonts w:ascii="Calibri" w:eastAsia="Times New Roman" w:hAnsi="Calibri" w:cs="Times New Roman"/>
      <w:i/>
      <w:iCs/>
      <w:color w:val="000000"/>
      <w:lang w:val="en-US" w:eastAsia="ja-JP"/>
    </w:rPr>
  </w:style>
  <w:style w:type="character" w:customStyle="1" w:styleId="CitationCar">
    <w:name w:val="Citation Car"/>
    <w:basedOn w:val="Policepardfaut"/>
    <w:link w:val="Citation"/>
    <w:uiPriority w:val="99"/>
    <w:rsid w:val="00164577"/>
    <w:rPr>
      <w:rFonts w:ascii="Calibri" w:eastAsia="Times New Roman" w:hAnsi="Calibri" w:cs="Times New Roman"/>
      <w:i/>
      <w:iCs/>
      <w:color w:val="000000"/>
      <w:lang w:val="en-US" w:eastAsia="ja-JP"/>
    </w:rPr>
  </w:style>
  <w:style w:type="character" w:customStyle="1" w:styleId="Titre2Car">
    <w:name w:val="Titre 2 Car"/>
    <w:basedOn w:val="Policepardfaut"/>
    <w:link w:val="Titre2"/>
    <w:uiPriority w:val="9"/>
    <w:rsid w:val="00FB38AB"/>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FB38AB"/>
    <w:rPr>
      <w:rFonts w:asciiTheme="majorHAnsi" w:eastAsiaTheme="majorEastAsia" w:hAnsiTheme="majorHAnsi" w:cstheme="majorBidi"/>
      <w:b/>
      <w:bCs/>
      <w:color w:val="4F81BD" w:themeColor="accent1"/>
      <w:lang w:val="fr-FR"/>
    </w:rPr>
  </w:style>
  <w:style w:type="character" w:styleId="Marquedecommentaire">
    <w:name w:val="annotation reference"/>
    <w:basedOn w:val="Policepardfaut"/>
    <w:uiPriority w:val="99"/>
    <w:semiHidden/>
    <w:rsid w:val="00FB38AB"/>
    <w:rPr>
      <w:rFonts w:cs="Times New Roman"/>
      <w:sz w:val="16"/>
    </w:rPr>
  </w:style>
  <w:style w:type="paragraph" w:styleId="Commentaire">
    <w:name w:val="annotation text"/>
    <w:basedOn w:val="Normal"/>
    <w:link w:val="CommentaireCar"/>
    <w:uiPriority w:val="99"/>
    <w:semiHidden/>
    <w:rsid w:val="00FB38AB"/>
    <w:pPr>
      <w:spacing w:line="240" w:lineRule="auto"/>
      <w:jc w:val="both"/>
    </w:pPr>
    <w:rPr>
      <w:rFonts w:ascii="Verdana" w:eastAsia="Times New Roman" w:hAnsi="Verdana" w:cs="Times New Roman"/>
      <w:sz w:val="20"/>
      <w:szCs w:val="20"/>
      <w:lang w:val="en-GB" w:eastAsia="sl-SI"/>
    </w:rPr>
  </w:style>
  <w:style w:type="character" w:customStyle="1" w:styleId="CommentaireCar">
    <w:name w:val="Commentaire Car"/>
    <w:basedOn w:val="Policepardfaut"/>
    <w:link w:val="Commentaire"/>
    <w:uiPriority w:val="99"/>
    <w:semiHidden/>
    <w:rsid w:val="00FB38AB"/>
    <w:rPr>
      <w:rFonts w:ascii="Verdana" w:eastAsia="Times New Roman" w:hAnsi="Verdana" w:cs="Times New Roman"/>
      <w:sz w:val="20"/>
      <w:szCs w:val="20"/>
      <w:lang w:eastAsia="sl-SI"/>
    </w:rPr>
  </w:style>
  <w:style w:type="paragraph" w:styleId="TM1">
    <w:name w:val="toc 1"/>
    <w:basedOn w:val="Normal"/>
    <w:next w:val="Normal"/>
    <w:autoRedefine/>
    <w:uiPriority w:val="39"/>
    <w:rsid w:val="00C74BEC"/>
    <w:pPr>
      <w:tabs>
        <w:tab w:val="left" w:pos="426"/>
        <w:tab w:val="left" w:pos="709"/>
        <w:tab w:val="right" w:leader="dot" w:pos="9034"/>
      </w:tabs>
      <w:spacing w:before="120" w:after="120" w:line="240" w:lineRule="auto"/>
    </w:pPr>
    <w:rPr>
      <w:rFonts w:ascii="Calibri" w:eastAsia="Times New Roman" w:hAnsi="Calibri" w:cstheme="minorHAnsi"/>
      <w:b/>
      <w:bCs/>
      <w:iCs/>
      <w:caps/>
      <w:noProof/>
      <w:sz w:val="20"/>
      <w:szCs w:val="20"/>
      <w:lang w:eastAsia="fr-FR"/>
    </w:rPr>
  </w:style>
  <w:style w:type="paragraph" w:styleId="TM2">
    <w:name w:val="toc 2"/>
    <w:basedOn w:val="Normal"/>
    <w:next w:val="Normal"/>
    <w:autoRedefine/>
    <w:uiPriority w:val="39"/>
    <w:rsid w:val="00FB38AB"/>
    <w:pPr>
      <w:tabs>
        <w:tab w:val="left" w:pos="709"/>
        <w:tab w:val="right" w:leader="dot" w:pos="9060"/>
      </w:tabs>
      <w:spacing w:line="240" w:lineRule="auto"/>
      <w:ind w:left="240"/>
      <w:jc w:val="both"/>
    </w:pPr>
    <w:rPr>
      <w:rFonts w:ascii="Calibri" w:eastAsia="Times New Roman" w:hAnsi="Calibri" w:cs="Calibri"/>
      <w:smallCaps/>
      <w:sz w:val="20"/>
      <w:szCs w:val="20"/>
      <w:lang w:val="en-GB" w:eastAsia="fr-FR"/>
    </w:rPr>
  </w:style>
  <w:style w:type="paragraph" w:styleId="TM3">
    <w:name w:val="toc 3"/>
    <w:basedOn w:val="Normal"/>
    <w:next w:val="Normal"/>
    <w:autoRedefine/>
    <w:uiPriority w:val="39"/>
    <w:rsid w:val="004515B2"/>
    <w:pPr>
      <w:tabs>
        <w:tab w:val="right" w:leader="dot" w:pos="9060"/>
      </w:tabs>
      <w:spacing w:line="240" w:lineRule="auto"/>
      <w:ind w:left="480"/>
      <w:jc w:val="both"/>
    </w:pPr>
    <w:rPr>
      <w:rFonts w:ascii="Calibri" w:eastAsia="Times New Roman" w:hAnsi="Calibri" w:cstheme="minorHAnsi"/>
      <w:i/>
      <w:iCs/>
      <w:noProof/>
      <w:sz w:val="20"/>
      <w:szCs w:val="20"/>
      <w:lang w:val="en-GB" w:eastAsia="fr-FR"/>
    </w:rPr>
  </w:style>
  <w:style w:type="paragraph" w:customStyle="1" w:styleId="Corpsde">
    <w:name w:val="Corps de"/>
    <w:basedOn w:val="Normal"/>
    <w:uiPriority w:val="99"/>
    <w:rsid w:val="00316A72"/>
    <w:pPr>
      <w:spacing w:line="240" w:lineRule="auto"/>
      <w:jc w:val="center"/>
    </w:pPr>
    <w:rPr>
      <w:rFonts w:ascii="Verdana" w:eastAsia="Times New Roman" w:hAnsi="Verdana" w:cs="Times New Roman"/>
      <w:b/>
      <w:sz w:val="18"/>
      <w:szCs w:val="24"/>
      <w:u w:val="single"/>
      <w:lang w:val="en-US" w:eastAsia="fr-FR"/>
    </w:rPr>
  </w:style>
  <w:style w:type="paragraph" w:customStyle="1" w:styleId="Default">
    <w:name w:val="Default"/>
    <w:rsid w:val="00B85D0A"/>
    <w:pPr>
      <w:autoSpaceDE w:val="0"/>
      <w:autoSpaceDN w:val="0"/>
      <w:adjustRightInd w:val="0"/>
      <w:spacing w:line="240" w:lineRule="auto"/>
    </w:pPr>
    <w:rPr>
      <w:rFonts w:ascii="Times New Roman" w:hAnsi="Times New Roman" w:cs="Times New Roman"/>
      <w:color w:val="000000"/>
      <w:sz w:val="24"/>
      <w:szCs w:val="24"/>
      <w:lang w:val="en-US"/>
    </w:rPr>
  </w:style>
  <w:style w:type="paragraph" w:styleId="Retraitcorpsdetexte">
    <w:name w:val="Body Text Indent"/>
    <w:basedOn w:val="Normal"/>
    <w:link w:val="RetraitcorpsdetexteCar"/>
    <w:rsid w:val="00607857"/>
    <w:pPr>
      <w:tabs>
        <w:tab w:val="left" w:pos="399"/>
      </w:tabs>
      <w:spacing w:line="240" w:lineRule="auto"/>
      <w:ind w:left="399" w:hanging="399"/>
    </w:pPr>
    <w:rPr>
      <w:rFonts w:ascii="Arial Narrow" w:eastAsia="Times New Roman" w:hAnsi="Arial Narrow" w:cs="Times New Roman"/>
      <w:sz w:val="24"/>
      <w:szCs w:val="24"/>
      <w:lang w:val="en-GB" w:eastAsia="fr-FR"/>
    </w:rPr>
  </w:style>
  <w:style w:type="character" w:customStyle="1" w:styleId="RetraitcorpsdetexteCar">
    <w:name w:val="Retrait corps de texte Car"/>
    <w:basedOn w:val="Policepardfaut"/>
    <w:link w:val="Retraitcorpsdetexte"/>
    <w:rsid w:val="00607857"/>
    <w:rPr>
      <w:rFonts w:ascii="Arial Narrow" w:eastAsia="Times New Roman" w:hAnsi="Arial Narrow" w:cs="Times New Roman"/>
      <w:sz w:val="24"/>
      <w:szCs w:val="24"/>
      <w:lang w:eastAsia="fr-FR"/>
    </w:rPr>
  </w:style>
  <w:style w:type="paragraph" w:styleId="Corpsdetexte">
    <w:name w:val="Body Text"/>
    <w:basedOn w:val="Normal"/>
    <w:link w:val="CorpsdetexteCar"/>
    <w:uiPriority w:val="99"/>
    <w:semiHidden/>
    <w:unhideWhenUsed/>
    <w:rsid w:val="00BF2DD5"/>
    <w:pPr>
      <w:spacing w:after="120"/>
    </w:pPr>
  </w:style>
  <w:style w:type="character" w:customStyle="1" w:styleId="CorpsdetexteCar">
    <w:name w:val="Corps de texte Car"/>
    <w:basedOn w:val="Policepardfaut"/>
    <w:link w:val="Corpsdetexte"/>
    <w:uiPriority w:val="99"/>
    <w:semiHidden/>
    <w:rsid w:val="00BF2DD5"/>
    <w:rPr>
      <w:lang w:val="fr-FR"/>
    </w:rPr>
  </w:style>
  <w:style w:type="character" w:customStyle="1" w:styleId="A1">
    <w:name w:val="A1"/>
    <w:uiPriority w:val="99"/>
    <w:rsid w:val="00E7633C"/>
    <w:rPr>
      <w:rFonts w:cs="Times"/>
      <w:color w:val="000000"/>
      <w:sz w:val="22"/>
      <w:szCs w:val="22"/>
    </w:rPr>
  </w:style>
  <w:style w:type="paragraph" w:customStyle="1" w:styleId="Heading1">
    <w:name w:val="Heading1"/>
    <w:basedOn w:val="Normal"/>
    <w:link w:val="Heading1Char"/>
    <w:qFormat/>
    <w:rsid w:val="00C762F8"/>
    <w:pPr>
      <w:tabs>
        <w:tab w:val="left" w:pos="567"/>
        <w:tab w:val="left" w:pos="709"/>
      </w:tabs>
      <w:suppressAutoHyphens/>
    </w:pPr>
    <w:rPr>
      <w:rFonts w:eastAsiaTheme="majorEastAsia" w:cstheme="majorBidi"/>
      <w:b/>
      <w:bCs/>
      <w:sz w:val="24"/>
      <w:szCs w:val="24"/>
      <w:u w:val="single"/>
      <w:lang w:val="en-GB"/>
    </w:rPr>
  </w:style>
  <w:style w:type="character" w:customStyle="1" w:styleId="Heading1Char">
    <w:name w:val="Heading1 Char"/>
    <w:basedOn w:val="Policepardfaut"/>
    <w:link w:val="Heading1"/>
    <w:rsid w:val="00C762F8"/>
    <w:rPr>
      <w:rFonts w:eastAsiaTheme="majorEastAsia" w:cstheme="majorBidi"/>
      <w:b/>
      <w:bCs/>
      <w:sz w:val="24"/>
      <w:szCs w:val="24"/>
      <w:u w:val="single"/>
    </w:rPr>
  </w:style>
  <w:style w:type="paragraph" w:styleId="NormalWeb">
    <w:name w:val="Normal (Web)"/>
    <w:basedOn w:val="Normal"/>
    <w:uiPriority w:val="99"/>
    <w:unhideWhenUsed/>
    <w:rsid w:val="00CD61EB"/>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ParagraphedelisteCar">
    <w:name w:val="Paragraphe de liste Car"/>
    <w:aliases w:val="standaard met opsomming Car"/>
    <w:basedOn w:val="Policepardfaut"/>
    <w:link w:val="Paragraphedeliste"/>
    <w:uiPriority w:val="34"/>
    <w:rsid w:val="001878CC"/>
    <w:rPr>
      <w:lang w:val="fr-FR"/>
    </w:rPr>
  </w:style>
  <w:style w:type="character" w:styleId="Lienhypertextesuivivisit">
    <w:name w:val="FollowedHyperlink"/>
    <w:basedOn w:val="Policepardfaut"/>
    <w:semiHidden/>
    <w:unhideWhenUsed/>
    <w:rsid w:val="001878CC"/>
    <w:rPr>
      <w:color w:val="800080" w:themeColor="followedHyperlink"/>
      <w:u w:val="single"/>
    </w:rPr>
  </w:style>
  <w:style w:type="character" w:styleId="lev">
    <w:name w:val="Strong"/>
    <w:uiPriority w:val="22"/>
    <w:qFormat/>
    <w:rsid w:val="008F65E9"/>
    <w:rPr>
      <w:b/>
      <w:bCs/>
    </w:rPr>
  </w:style>
  <w:style w:type="character" w:customStyle="1" w:styleId="dtitle">
    <w:name w:val="dtitle"/>
    <w:basedOn w:val="Policepardfaut"/>
    <w:rsid w:val="008F65E9"/>
  </w:style>
  <w:style w:type="character" w:customStyle="1" w:styleId="UnresolvedMention">
    <w:name w:val="Unresolved Mention"/>
    <w:basedOn w:val="Policepardfaut"/>
    <w:uiPriority w:val="99"/>
    <w:semiHidden/>
    <w:unhideWhenUsed/>
    <w:rsid w:val="00066D58"/>
    <w:rPr>
      <w:color w:val="605E5C"/>
      <w:shd w:val="clear" w:color="auto" w:fill="E1DFDD"/>
    </w:rPr>
  </w:style>
  <w:style w:type="paragraph" w:customStyle="1" w:styleId="Standard">
    <w:name w:val="Standard"/>
    <w:rsid w:val="00EC1C62"/>
    <w:pPr>
      <w:widowControl w:val="0"/>
      <w:suppressAutoHyphens/>
      <w:autoSpaceDN w:val="0"/>
      <w:spacing w:line="240" w:lineRule="auto"/>
    </w:pPr>
    <w:rPr>
      <w:rFonts w:ascii="Times New Roman" w:eastAsia="SimSun" w:hAnsi="Times New Roman" w:cs="Lucida Sans"/>
      <w:kern w:val="3"/>
      <w:sz w:val="24"/>
      <w:szCs w:val="24"/>
      <w:lang w:val="fr-FR" w:eastAsia="zh-CN" w:bidi="hi-IN"/>
    </w:rPr>
  </w:style>
  <w:style w:type="paragraph" w:customStyle="1" w:styleId="Footnote">
    <w:name w:val="Footnote"/>
    <w:basedOn w:val="Standard"/>
    <w:rsid w:val="00EC1C62"/>
    <w:pPr>
      <w:suppressLineNumbers/>
      <w:ind w:left="283" w:hanging="283"/>
    </w:pPr>
    <w:rPr>
      <w:sz w:val="20"/>
      <w:szCs w:val="20"/>
    </w:rPr>
  </w:style>
  <w:style w:type="character" w:customStyle="1" w:styleId="element-invisible1">
    <w:name w:val="element-invisible1"/>
    <w:basedOn w:val="Policepardfaut"/>
    <w:rsid w:val="00CD7773"/>
    <w:rPr>
      <w:vanish/>
      <w:webHidden w:val="0"/>
      <w:specVanish w:val="0"/>
    </w:rPr>
  </w:style>
  <w:style w:type="paragraph" w:customStyle="1" w:styleId="s82f48565">
    <w:name w:val="s82f48565"/>
    <w:basedOn w:val="Normal"/>
    <w:rsid w:val="003169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52c23de3">
    <w:name w:val="s52c23de3"/>
    <w:basedOn w:val="Policepardfaut"/>
    <w:rsid w:val="003169FA"/>
  </w:style>
  <w:style w:type="character" w:customStyle="1" w:styleId="sb8d990e2">
    <w:name w:val="sb8d990e2"/>
    <w:basedOn w:val="Policepardfaut"/>
    <w:rsid w:val="003169FA"/>
  </w:style>
  <w:style w:type="character" w:customStyle="1" w:styleId="wordhighlighted">
    <w:name w:val="wordhighlighted"/>
    <w:basedOn w:val="Policepardfaut"/>
    <w:rsid w:val="003169FA"/>
  </w:style>
  <w:style w:type="paragraph" w:customStyle="1" w:styleId="s746c8714">
    <w:name w:val="s746c8714"/>
    <w:basedOn w:val="Normal"/>
    <w:rsid w:val="003169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f97c7c07">
    <w:name w:val="sf97c7c07"/>
    <w:basedOn w:val="Policepardfaut"/>
    <w:rsid w:val="00B72A75"/>
  </w:style>
  <w:style w:type="character" w:customStyle="1" w:styleId="sae070d1d">
    <w:name w:val="sae070d1d"/>
    <w:basedOn w:val="Policepardfaut"/>
    <w:rsid w:val="00A34579"/>
  </w:style>
  <w:style w:type="character" w:customStyle="1" w:styleId="sb6c4b58f">
    <w:name w:val="sb6c4b58f"/>
    <w:basedOn w:val="Policepardfaut"/>
    <w:rsid w:val="00A34579"/>
  </w:style>
  <w:style w:type="paragraph" w:styleId="Objetducommentaire">
    <w:name w:val="annotation subject"/>
    <w:basedOn w:val="Commentaire"/>
    <w:next w:val="Commentaire"/>
    <w:link w:val="ObjetducommentaireCar"/>
    <w:semiHidden/>
    <w:unhideWhenUsed/>
    <w:rsid w:val="00562AA4"/>
    <w:pPr>
      <w:jc w:val="left"/>
    </w:pPr>
    <w:rPr>
      <w:rFonts w:asciiTheme="minorHAnsi" w:eastAsiaTheme="minorHAnsi" w:hAnsiTheme="minorHAnsi" w:cstheme="minorBidi"/>
      <w:b/>
      <w:bCs/>
      <w:lang w:val="fr-FR" w:eastAsia="en-US"/>
    </w:rPr>
  </w:style>
  <w:style w:type="character" w:customStyle="1" w:styleId="ObjetducommentaireCar">
    <w:name w:val="Objet du commentaire Car"/>
    <w:basedOn w:val="CommentaireCar"/>
    <w:link w:val="Objetducommentaire"/>
    <w:semiHidden/>
    <w:rsid w:val="00562AA4"/>
    <w:rPr>
      <w:rFonts w:ascii="Verdana" w:eastAsia="Times New Roman" w:hAnsi="Verdana" w:cs="Times New Roman"/>
      <w:b/>
      <w:bCs/>
      <w:sz w:val="20"/>
      <w:szCs w:val="20"/>
      <w:lang w:val="fr-F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4136">
      <w:bodyDiv w:val="1"/>
      <w:marLeft w:val="0"/>
      <w:marRight w:val="0"/>
      <w:marTop w:val="0"/>
      <w:marBottom w:val="0"/>
      <w:divBdr>
        <w:top w:val="none" w:sz="0" w:space="0" w:color="auto"/>
        <w:left w:val="none" w:sz="0" w:space="0" w:color="auto"/>
        <w:bottom w:val="none" w:sz="0" w:space="0" w:color="auto"/>
        <w:right w:val="none" w:sz="0" w:space="0" w:color="auto"/>
      </w:divBdr>
    </w:div>
    <w:div w:id="223682761">
      <w:bodyDiv w:val="1"/>
      <w:marLeft w:val="0"/>
      <w:marRight w:val="0"/>
      <w:marTop w:val="0"/>
      <w:marBottom w:val="0"/>
      <w:divBdr>
        <w:top w:val="none" w:sz="0" w:space="0" w:color="auto"/>
        <w:left w:val="none" w:sz="0" w:space="0" w:color="auto"/>
        <w:bottom w:val="none" w:sz="0" w:space="0" w:color="auto"/>
        <w:right w:val="none" w:sz="0" w:space="0" w:color="auto"/>
      </w:divBdr>
    </w:div>
    <w:div w:id="500434280">
      <w:bodyDiv w:val="1"/>
      <w:marLeft w:val="0"/>
      <w:marRight w:val="0"/>
      <w:marTop w:val="0"/>
      <w:marBottom w:val="0"/>
      <w:divBdr>
        <w:top w:val="none" w:sz="0" w:space="0" w:color="auto"/>
        <w:left w:val="none" w:sz="0" w:space="0" w:color="auto"/>
        <w:bottom w:val="none" w:sz="0" w:space="0" w:color="auto"/>
        <w:right w:val="none" w:sz="0" w:space="0" w:color="auto"/>
      </w:divBdr>
    </w:div>
    <w:div w:id="522986496">
      <w:bodyDiv w:val="1"/>
      <w:marLeft w:val="0"/>
      <w:marRight w:val="0"/>
      <w:marTop w:val="0"/>
      <w:marBottom w:val="0"/>
      <w:divBdr>
        <w:top w:val="none" w:sz="0" w:space="0" w:color="auto"/>
        <w:left w:val="none" w:sz="0" w:space="0" w:color="auto"/>
        <w:bottom w:val="none" w:sz="0" w:space="0" w:color="auto"/>
        <w:right w:val="none" w:sz="0" w:space="0" w:color="auto"/>
      </w:divBdr>
    </w:div>
    <w:div w:id="604733146">
      <w:bodyDiv w:val="1"/>
      <w:marLeft w:val="0"/>
      <w:marRight w:val="0"/>
      <w:marTop w:val="0"/>
      <w:marBottom w:val="0"/>
      <w:divBdr>
        <w:top w:val="none" w:sz="0" w:space="0" w:color="auto"/>
        <w:left w:val="none" w:sz="0" w:space="0" w:color="auto"/>
        <w:bottom w:val="none" w:sz="0" w:space="0" w:color="auto"/>
        <w:right w:val="none" w:sz="0" w:space="0" w:color="auto"/>
      </w:divBdr>
    </w:div>
    <w:div w:id="649286951">
      <w:bodyDiv w:val="1"/>
      <w:marLeft w:val="0"/>
      <w:marRight w:val="0"/>
      <w:marTop w:val="0"/>
      <w:marBottom w:val="0"/>
      <w:divBdr>
        <w:top w:val="none" w:sz="0" w:space="0" w:color="auto"/>
        <w:left w:val="none" w:sz="0" w:space="0" w:color="auto"/>
        <w:bottom w:val="none" w:sz="0" w:space="0" w:color="auto"/>
        <w:right w:val="none" w:sz="0" w:space="0" w:color="auto"/>
      </w:divBdr>
    </w:div>
    <w:div w:id="662658448">
      <w:bodyDiv w:val="1"/>
      <w:marLeft w:val="0"/>
      <w:marRight w:val="0"/>
      <w:marTop w:val="0"/>
      <w:marBottom w:val="0"/>
      <w:divBdr>
        <w:top w:val="none" w:sz="0" w:space="0" w:color="auto"/>
        <w:left w:val="none" w:sz="0" w:space="0" w:color="auto"/>
        <w:bottom w:val="none" w:sz="0" w:space="0" w:color="auto"/>
        <w:right w:val="none" w:sz="0" w:space="0" w:color="auto"/>
      </w:divBdr>
    </w:div>
    <w:div w:id="846866263">
      <w:bodyDiv w:val="1"/>
      <w:marLeft w:val="0"/>
      <w:marRight w:val="0"/>
      <w:marTop w:val="0"/>
      <w:marBottom w:val="0"/>
      <w:divBdr>
        <w:top w:val="none" w:sz="0" w:space="0" w:color="auto"/>
        <w:left w:val="none" w:sz="0" w:space="0" w:color="auto"/>
        <w:bottom w:val="none" w:sz="0" w:space="0" w:color="auto"/>
        <w:right w:val="none" w:sz="0" w:space="0" w:color="auto"/>
      </w:divBdr>
    </w:div>
    <w:div w:id="873420978">
      <w:bodyDiv w:val="1"/>
      <w:marLeft w:val="0"/>
      <w:marRight w:val="0"/>
      <w:marTop w:val="0"/>
      <w:marBottom w:val="0"/>
      <w:divBdr>
        <w:top w:val="none" w:sz="0" w:space="0" w:color="auto"/>
        <w:left w:val="none" w:sz="0" w:space="0" w:color="auto"/>
        <w:bottom w:val="none" w:sz="0" w:space="0" w:color="auto"/>
        <w:right w:val="none" w:sz="0" w:space="0" w:color="auto"/>
      </w:divBdr>
    </w:div>
    <w:div w:id="882866557">
      <w:bodyDiv w:val="1"/>
      <w:marLeft w:val="0"/>
      <w:marRight w:val="0"/>
      <w:marTop w:val="0"/>
      <w:marBottom w:val="0"/>
      <w:divBdr>
        <w:top w:val="none" w:sz="0" w:space="0" w:color="auto"/>
        <w:left w:val="none" w:sz="0" w:space="0" w:color="auto"/>
        <w:bottom w:val="none" w:sz="0" w:space="0" w:color="auto"/>
        <w:right w:val="none" w:sz="0" w:space="0" w:color="auto"/>
      </w:divBdr>
    </w:div>
    <w:div w:id="931626581">
      <w:bodyDiv w:val="1"/>
      <w:marLeft w:val="0"/>
      <w:marRight w:val="0"/>
      <w:marTop w:val="0"/>
      <w:marBottom w:val="0"/>
      <w:divBdr>
        <w:top w:val="none" w:sz="0" w:space="0" w:color="auto"/>
        <w:left w:val="none" w:sz="0" w:space="0" w:color="auto"/>
        <w:bottom w:val="none" w:sz="0" w:space="0" w:color="auto"/>
        <w:right w:val="none" w:sz="0" w:space="0" w:color="auto"/>
      </w:divBdr>
    </w:div>
    <w:div w:id="999773809">
      <w:bodyDiv w:val="1"/>
      <w:marLeft w:val="0"/>
      <w:marRight w:val="0"/>
      <w:marTop w:val="0"/>
      <w:marBottom w:val="0"/>
      <w:divBdr>
        <w:top w:val="none" w:sz="0" w:space="0" w:color="auto"/>
        <w:left w:val="none" w:sz="0" w:space="0" w:color="auto"/>
        <w:bottom w:val="none" w:sz="0" w:space="0" w:color="auto"/>
        <w:right w:val="none" w:sz="0" w:space="0" w:color="auto"/>
      </w:divBdr>
    </w:div>
    <w:div w:id="1089499650">
      <w:bodyDiv w:val="1"/>
      <w:marLeft w:val="0"/>
      <w:marRight w:val="0"/>
      <w:marTop w:val="0"/>
      <w:marBottom w:val="0"/>
      <w:divBdr>
        <w:top w:val="none" w:sz="0" w:space="0" w:color="auto"/>
        <w:left w:val="none" w:sz="0" w:space="0" w:color="auto"/>
        <w:bottom w:val="none" w:sz="0" w:space="0" w:color="auto"/>
        <w:right w:val="none" w:sz="0" w:space="0" w:color="auto"/>
      </w:divBdr>
    </w:div>
    <w:div w:id="1091699590">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195727682">
      <w:bodyDiv w:val="1"/>
      <w:marLeft w:val="0"/>
      <w:marRight w:val="0"/>
      <w:marTop w:val="0"/>
      <w:marBottom w:val="0"/>
      <w:divBdr>
        <w:top w:val="none" w:sz="0" w:space="0" w:color="auto"/>
        <w:left w:val="none" w:sz="0" w:space="0" w:color="auto"/>
        <w:bottom w:val="none" w:sz="0" w:space="0" w:color="auto"/>
        <w:right w:val="none" w:sz="0" w:space="0" w:color="auto"/>
      </w:divBdr>
    </w:div>
    <w:div w:id="1215657152">
      <w:bodyDiv w:val="1"/>
      <w:marLeft w:val="0"/>
      <w:marRight w:val="0"/>
      <w:marTop w:val="0"/>
      <w:marBottom w:val="0"/>
      <w:divBdr>
        <w:top w:val="none" w:sz="0" w:space="0" w:color="auto"/>
        <w:left w:val="none" w:sz="0" w:space="0" w:color="auto"/>
        <w:bottom w:val="none" w:sz="0" w:space="0" w:color="auto"/>
        <w:right w:val="none" w:sz="0" w:space="0" w:color="auto"/>
      </w:divBdr>
    </w:div>
    <w:div w:id="1244100827">
      <w:bodyDiv w:val="1"/>
      <w:marLeft w:val="0"/>
      <w:marRight w:val="0"/>
      <w:marTop w:val="0"/>
      <w:marBottom w:val="0"/>
      <w:divBdr>
        <w:top w:val="none" w:sz="0" w:space="0" w:color="auto"/>
        <w:left w:val="none" w:sz="0" w:space="0" w:color="auto"/>
        <w:bottom w:val="none" w:sz="0" w:space="0" w:color="auto"/>
        <w:right w:val="none" w:sz="0" w:space="0" w:color="auto"/>
      </w:divBdr>
    </w:div>
    <w:div w:id="1339961284">
      <w:bodyDiv w:val="1"/>
      <w:marLeft w:val="0"/>
      <w:marRight w:val="0"/>
      <w:marTop w:val="0"/>
      <w:marBottom w:val="0"/>
      <w:divBdr>
        <w:top w:val="none" w:sz="0" w:space="0" w:color="auto"/>
        <w:left w:val="none" w:sz="0" w:space="0" w:color="auto"/>
        <w:bottom w:val="none" w:sz="0" w:space="0" w:color="auto"/>
        <w:right w:val="none" w:sz="0" w:space="0" w:color="auto"/>
      </w:divBdr>
    </w:div>
    <w:div w:id="1350838214">
      <w:bodyDiv w:val="1"/>
      <w:marLeft w:val="0"/>
      <w:marRight w:val="0"/>
      <w:marTop w:val="0"/>
      <w:marBottom w:val="0"/>
      <w:divBdr>
        <w:top w:val="none" w:sz="0" w:space="0" w:color="auto"/>
        <w:left w:val="none" w:sz="0" w:space="0" w:color="auto"/>
        <w:bottom w:val="none" w:sz="0" w:space="0" w:color="auto"/>
        <w:right w:val="none" w:sz="0" w:space="0" w:color="auto"/>
      </w:divBdr>
    </w:div>
    <w:div w:id="1405301537">
      <w:bodyDiv w:val="1"/>
      <w:marLeft w:val="0"/>
      <w:marRight w:val="0"/>
      <w:marTop w:val="0"/>
      <w:marBottom w:val="0"/>
      <w:divBdr>
        <w:top w:val="none" w:sz="0" w:space="0" w:color="auto"/>
        <w:left w:val="none" w:sz="0" w:space="0" w:color="auto"/>
        <w:bottom w:val="none" w:sz="0" w:space="0" w:color="auto"/>
        <w:right w:val="none" w:sz="0" w:space="0" w:color="auto"/>
      </w:divBdr>
    </w:div>
    <w:div w:id="1422220932">
      <w:bodyDiv w:val="1"/>
      <w:marLeft w:val="0"/>
      <w:marRight w:val="0"/>
      <w:marTop w:val="0"/>
      <w:marBottom w:val="0"/>
      <w:divBdr>
        <w:top w:val="none" w:sz="0" w:space="0" w:color="auto"/>
        <w:left w:val="none" w:sz="0" w:space="0" w:color="auto"/>
        <w:bottom w:val="none" w:sz="0" w:space="0" w:color="auto"/>
        <w:right w:val="none" w:sz="0" w:space="0" w:color="auto"/>
      </w:divBdr>
    </w:div>
    <w:div w:id="1662393042">
      <w:bodyDiv w:val="1"/>
      <w:marLeft w:val="0"/>
      <w:marRight w:val="0"/>
      <w:marTop w:val="0"/>
      <w:marBottom w:val="0"/>
      <w:divBdr>
        <w:top w:val="none" w:sz="0" w:space="0" w:color="auto"/>
        <w:left w:val="none" w:sz="0" w:space="0" w:color="auto"/>
        <w:bottom w:val="none" w:sz="0" w:space="0" w:color="auto"/>
        <w:right w:val="none" w:sz="0" w:space="0" w:color="auto"/>
      </w:divBdr>
    </w:div>
    <w:div w:id="1916208589">
      <w:bodyDiv w:val="1"/>
      <w:marLeft w:val="0"/>
      <w:marRight w:val="0"/>
      <w:marTop w:val="0"/>
      <w:marBottom w:val="0"/>
      <w:divBdr>
        <w:top w:val="none" w:sz="0" w:space="0" w:color="auto"/>
        <w:left w:val="none" w:sz="0" w:space="0" w:color="auto"/>
        <w:bottom w:val="none" w:sz="0" w:space="0" w:color="auto"/>
        <w:right w:val="none" w:sz="0" w:space="0" w:color="auto"/>
      </w:divBdr>
    </w:div>
    <w:div w:id="1952125174">
      <w:bodyDiv w:val="1"/>
      <w:marLeft w:val="0"/>
      <w:marRight w:val="0"/>
      <w:marTop w:val="0"/>
      <w:marBottom w:val="0"/>
      <w:divBdr>
        <w:top w:val="none" w:sz="0" w:space="0" w:color="auto"/>
        <w:left w:val="none" w:sz="0" w:space="0" w:color="auto"/>
        <w:bottom w:val="none" w:sz="0" w:space="0" w:color="auto"/>
        <w:right w:val="none" w:sz="0" w:space="0" w:color="auto"/>
      </w:divBdr>
    </w:div>
    <w:div w:id="1964114425">
      <w:bodyDiv w:val="1"/>
      <w:marLeft w:val="0"/>
      <w:marRight w:val="0"/>
      <w:marTop w:val="0"/>
      <w:marBottom w:val="0"/>
      <w:divBdr>
        <w:top w:val="none" w:sz="0" w:space="0" w:color="auto"/>
        <w:left w:val="none" w:sz="0" w:space="0" w:color="auto"/>
        <w:bottom w:val="none" w:sz="0" w:space="0" w:color="auto"/>
        <w:right w:val="none" w:sz="0" w:space="0" w:color="auto"/>
      </w:divBdr>
    </w:div>
    <w:div w:id="2075011015">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oe.int/greco"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www.coe.int/greco/fr"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oe.int/greco/fr"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wcd.coe.int/ViewDoc.jsp?p=&amp;Ref=Rec(2003)3&amp;Language=lanEnglish&amp;Ver=original&amp;BackColorInternet=C3C3C3&amp;BackColorIntranet=EDB021&amp;BackColorLogged=F5D383&amp;direct=tru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lgium.be" TargetMode="External"/><Relationship Id="rId13" Type="http://schemas.openxmlformats.org/officeDocument/2006/relationships/hyperlink" Target="http://www.lachambre.be/kvvcr/pdf_sections/deonto/Code_de_deontologie_des_mandataires_publics.pdf" TargetMode="External"/><Relationship Id="rId18" Type="http://schemas.openxmlformats.org/officeDocument/2006/relationships/hyperlink" Target="http://www.lachambre.be/kvvcr/pdf_sections/deonto/CFD_avis_2017_2.pdf" TargetMode="External"/><Relationship Id="rId26" Type="http://schemas.openxmlformats.org/officeDocument/2006/relationships/hyperlink" Target="http://www.cumuleo.be" TargetMode="External"/><Relationship Id="rId39" Type="http://schemas.openxmlformats.org/officeDocument/2006/relationships/hyperlink" Target="http://www.ssgpi.be" TargetMode="External"/><Relationship Id="rId3" Type="http://schemas.openxmlformats.org/officeDocument/2006/relationships/hyperlink" Target="https://ec.europa.eu/commfrontoffice/publicopinion/index.cfm/Survey/getSurveyDetail/instruments/SPECIAL/surveyKy/2176" TargetMode="External"/><Relationship Id="rId21" Type="http://schemas.openxmlformats.org/officeDocument/2006/relationships/hyperlink" Target="https://plus.lesoir.be/36714/article/2016-04-21/une-double-casquette-genante-au-cabinet-marghem" TargetMode="External"/><Relationship Id="rId34" Type="http://schemas.openxmlformats.org/officeDocument/2006/relationships/hyperlink" Target="http://www.cgsp-admi.be/notre-secteur/federal-police-pompiers-comite-b-oip-federaux/" TargetMode="External"/><Relationship Id="rId7" Type="http://schemas.openxmlformats.org/officeDocument/2006/relationships/hyperlink" Target="http://senate.be/doc/const_fr.html" TargetMode="External"/><Relationship Id="rId12" Type="http://schemas.openxmlformats.org/officeDocument/2006/relationships/hyperlink" Target="http://www.lachambre.be/kvvcr/pdf_sections/deonto/Loi_du_6_janvier_2014_portant_creation_CFD.pdf" TargetMode="External"/><Relationship Id="rId17" Type="http://schemas.openxmlformats.org/officeDocument/2006/relationships/hyperlink" Target="https://www.belgium.be/fr/la_belgique/pouvoirs_publics/autorites_federales/gouvernement_federal" TargetMode="External"/><Relationship Id="rId25" Type="http://schemas.openxmlformats.org/officeDocument/2006/relationships/hyperlink" Target="http://www.ejustice.just.fgov.be/mopdf/2018/08/14_1.pdf" TargetMode="External"/><Relationship Id="rId33" Type="http://schemas.openxmlformats.org/officeDocument/2006/relationships/hyperlink" Target="http://www.moniteurdesecurite.policefederale.be/moniteurdesecurite/" TargetMode="External"/><Relationship Id="rId38" Type="http://schemas.openxmlformats.org/officeDocument/2006/relationships/hyperlink" Target="http://www.sypol.be/fr" TargetMode="External"/><Relationship Id="rId2" Type="http://schemas.openxmlformats.org/officeDocument/2006/relationships/hyperlink" Target="https://www.transparency.org/cpi2018" TargetMode="External"/><Relationship Id="rId16" Type="http://schemas.openxmlformats.org/officeDocument/2006/relationships/hyperlink" Target="https://www.ibz.rrn.fgov.be/fr/commissions/publicite-de-ladministration/introduction/" TargetMode="External"/><Relationship Id="rId20" Type="http://schemas.openxmlformats.org/officeDocument/2006/relationships/hyperlink" Target="https://archive.ptb.be/articles/la-cheffe-de-cabinet-de-reynders-impliquee-dans-les-paradis-fiscaux" TargetMode="External"/><Relationship Id="rId29" Type="http://schemas.openxmlformats.org/officeDocument/2006/relationships/hyperlink" Target="http://www.federaalombudsman.be/fr/rapports" TargetMode="External"/><Relationship Id="rId1" Type="http://schemas.openxmlformats.org/officeDocument/2006/relationships/hyperlink" Target="https://rm.coe.int/CoERMPublicCommonSearchServices/DisplayDCTMContent?documentId=09000016806cbe37" TargetMode="External"/><Relationship Id="rId6" Type="http://schemas.openxmlformats.org/officeDocument/2006/relationships/hyperlink" Target="https://www.rtbf.be/info/belgique/detail_gel-des-avoirs-libyens-nouveau-scandale-d-etat?id=10056295" TargetMode="External"/><Relationship Id="rId11" Type="http://schemas.openxmlformats.org/officeDocument/2006/relationships/hyperlink" Target="http://www.ejustice.just.fgov.be/cgi_loi/loi_a1.pl?language=fr&amp;la=F&amp;cn=2007081731&amp;table_name=loi&amp;&amp;caller=list&amp;F&amp;fromtab=loi&amp;tri=dd%20AS%20RANK&amp;rech=1&amp;numero=1&amp;sql=%28text%20contains%20%28%27%27%29%29" TargetMode="External"/><Relationship Id="rId24" Type="http://schemas.openxmlformats.org/officeDocument/2006/relationships/hyperlink" Target="https://www.ccrek.be/FR/Mandats/Depot.html" TargetMode="External"/><Relationship Id="rId32" Type="http://schemas.openxmlformats.org/officeDocument/2006/relationships/hyperlink" Target="http://www.ejustice.just.fgov.be/cgi_loi/change_lg.pl?language=fr&amp;la=F&amp;table_name=loi&amp;cn=2018073046" TargetMode="External"/><Relationship Id="rId37" Type="http://schemas.openxmlformats.org/officeDocument/2006/relationships/hyperlink" Target="https://vsoa-pol.be/fr_FR/" TargetMode="External"/><Relationship Id="rId40" Type="http://schemas.openxmlformats.org/officeDocument/2006/relationships/hyperlink" Target="http://www.ssgpi.be" TargetMode="External"/><Relationship Id="rId5" Type="http://schemas.openxmlformats.org/officeDocument/2006/relationships/hyperlink" Target="https://www.levif.be/actualite/belgique/commission-kazakhgate-les-conclusions-rabotees-par-la-majorite/article-normal-820359.html" TargetMode="External"/><Relationship Id="rId15" Type="http://schemas.openxmlformats.org/officeDocument/2006/relationships/hyperlink" Target="https://www.dekamer.be/kvvcr/pdf_sections/deonto/Rapport_annuel_CFD_2018_2019.pdf" TargetMode="External"/><Relationship Id="rId23" Type="http://schemas.openxmlformats.org/officeDocument/2006/relationships/hyperlink" Target="https://rm.coe.int/dix-septieme-rapport-general-d-activites-2016-du-groupe-d-etats-contre/168071c887" TargetMode="External"/><Relationship Id="rId28" Type="http://schemas.openxmlformats.org/officeDocument/2006/relationships/hyperlink" Target="https://www.venice.coe.int/webforms/documents/default.aspx?pdffile=CDL-AD(2013)001-f" TargetMode="External"/><Relationship Id="rId36" Type="http://schemas.openxmlformats.org/officeDocument/2006/relationships/hyperlink" Target="http://www.snps.be" TargetMode="External"/><Relationship Id="rId10" Type="http://schemas.openxmlformats.org/officeDocument/2006/relationships/hyperlink" Target="https://fedweb.belgium.be/sites/default/files/1937-10-02%20KB_AR%202017-03-21_%20statuut_statut.pdf" TargetMode="External"/><Relationship Id="rId19" Type="http://schemas.openxmlformats.org/officeDocument/2006/relationships/hyperlink" Target="http://www.ccrek.be" TargetMode="External"/><Relationship Id="rId31" Type="http://schemas.openxmlformats.org/officeDocument/2006/relationships/hyperlink" Target="https://www.levif.be/actualite/belgique/blanchis-les-enqueteurs-de-jumet-contre-attaquent/article-normal-106303.html?cookie_check=1566542104" TargetMode="External"/><Relationship Id="rId4" Type="http://schemas.openxmlformats.org/officeDocument/2006/relationships/hyperlink" Target="https://ec.europa.eu/home-affairs/sites/homeaffairs/files/what-we-do/policies/organized-crime-and-human-trafficking/corruption/anti-corruption-report/docs/2014_acr_belgium_chapter_fr.pdf" TargetMode="External"/><Relationship Id="rId9" Type="http://schemas.openxmlformats.org/officeDocument/2006/relationships/hyperlink" Target="http://www.cabineto.be" TargetMode="External"/><Relationship Id="rId14" Type="http://schemas.openxmlformats.org/officeDocument/2006/relationships/hyperlink" Target="http://www.dekamer.be/kvvcr/showpage.cfm?section=/deonto&amp;language=fr&amp;story=publication.xml" TargetMode="External"/><Relationship Id="rId22" Type="http://schemas.openxmlformats.org/officeDocument/2006/relationships/hyperlink" Target="https://www.levif.be/actualite/belgique/une-proposition-de-loi-pour-contrer-le-conflit-d-interets/article-normal-819365.html" TargetMode="External"/><Relationship Id="rId27" Type="http://schemas.openxmlformats.org/officeDocument/2006/relationships/hyperlink" Target="https://www.lachambre.be/kvvcr/pdf_sections/publications/reglement/Responsabilit%C3%A9%20p%C3%A9nale%20-%20loi%20du%2025%20juin%201998%20NTC.pdf" TargetMode="External"/><Relationship Id="rId30" Type="http://schemas.openxmlformats.org/officeDocument/2006/relationships/hyperlink" Target="https://www.police.be/5998/fr/a-propos/directions-centrales/office-central-pour-la-repression-de-la-corruption-ocrc-0" TargetMode="External"/><Relationship Id="rId35" Type="http://schemas.openxmlformats.org/officeDocument/2006/relationships/hyperlink" Target="https://csc-services-publics.csc-en-ligne.be/Qui-fait-quoi/Police/Po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CoeHudocSection Guid="{2C57B851-A6C3-44FF-B943-3AA4642F05D6}">
  <Id/>
  <SectionTitle>I.RÉSUMÉ ANALYTIQUE</SectionTitle>
  <ContextSectionTitle/>
  <SectionPage>1/6</SectionPage>
</CoeHudocSection>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oeHudocSection Guid="{455EC0DC-4195-4D07-8034-66DF5D734C2E}">
  <Id/>
  <SectionTitle>IV.PRÉVENTION DE LA CORRUPTION AU SEIN DES GOUVERNEMENTS CENTRAUX (HAUTES FONCTIONS DE L’EXÉCUTIF)</SectionTitle>
  <SectionPage>4/6</SectionPage>
  <ContextSectionTitle/>
</CoeHudocSec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eHudocSection Guid="{1342E639-2AA7-4331-B120-007B4A235B6A}">
  <Id/>
  <SectionTitle>VI.RECOMMANDATIONS ET SUIVI</SectionTitle>
  <SectionPage>6/6</SectionPage>
  <ContextSectionTitle/>
</CoeHudocSection>
</file>

<file path=customXml/item5.xml><?xml version="1.0" encoding="utf-8"?>
<CoeHudocSection Guid="{C786CD6C-CE3F-43D7-8B91-D5880C35DF62}">
  <Id/>
  <SectionTitle>II.INTRODUCTION ET MÉTHODOLOGIE</SectionTitle>
  <ContextSectionTitle/>
  <SectionPage>2/6</SectionPage>
</CoeHudocSection>
</file>

<file path=customXml/item6.xml><?xml version="1.0" encoding="utf-8"?>
<CoeHudocDocument>
  <Author>GRECO</Author>
  <DocumentTitle>CINQUIÈME CYCLE D’ÉVALUATION Prévention de la corruption et promotion de l’intégrité au sein  des gouvernements centraux (hautes fonctions de l’exécutif)  et des services répressifs RAPPORT D’ÉVALUATION FINLANDE</DocumentTitle>
  <ShortTitle>5th Round rapport d'évaluation Finlande</ShortTitle>
  <State>FIN</State>
  <Round>5</Round>
  <DocumentType>ER</DocumentType>
  <Language>fr</Language>
  <DocumentStatus/>
  <AdoptionDate/>
  <PublicationDate/>
  <Identifier>FIN-ER-5--fr</Identifier>
</CoeHudocDocument>
</file>

<file path=customXml/item7.xml><?xml version="1.0" encoding="utf-8"?>
<CoeHudocSection Guid="{41BC5973-55C8-49A6-B34E-52CDFD6CF398}">
  <Id/>
  <SectionTitle>V.PRÉVENTION DE LA CORRUPTION AU SEIN DES SERVICES RÉPRESSIFS</SectionTitle>
  <SectionPage>5/6</SectionPage>
  <ContextSectionTitle/>
</CoeHudocSection>
</file>

<file path=customXml/item8.xml><?xml version="1.0" encoding="utf-8"?>
<CoeHudocSection Guid="{CF5D2AA6-4187-4417-A2CF-B786C3240CE4}">
  <Id/>
  <SectionTitle>III.CONTEXTE </SectionTitle>
  <ContextSectionTitle/>
  <SectionPage>3/6</SectionPage>
</CoeHudocSection>
</file>

<file path=customXml/item9.xml><?xml version="1.0" encoding="utf-8"?>
<ct:contentTypeSchema xmlns:ct="http://schemas.microsoft.com/office/2006/metadata/contentType" xmlns:ma="http://schemas.microsoft.com/office/2006/metadata/properties/metaAttributes" ct:_="" ma:_="" ma:contentTypeName="Document" ma:contentTypeID="0x0101005F75C7D576DBCC488E7DBAFF47A5B850" ma:contentTypeVersion="0" ma:contentTypeDescription="Create a new document." ma:contentTypeScope="" ma:versionID="f7ef94d6d5983aa8bf4b2bd5b276c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7315A-3CBF-47CF-BA35-06283230BC51}">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2C57B851-A6C3-44FF-B943-3AA4642F05D6}">
  <ds:schemaRefs/>
</ds:datastoreItem>
</file>

<file path=customXml/itemProps11.xml><?xml version="1.0" encoding="utf-8"?>
<ds:datastoreItem xmlns:ds="http://schemas.openxmlformats.org/officeDocument/2006/customXml" ds:itemID="{19D529C1-FC4D-4089-B43A-3D0B0BBF836C}">
  <ds:schemaRefs>
    <ds:schemaRef ds:uri="http://schemas.openxmlformats.org/officeDocument/2006/bibliography"/>
  </ds:schemaRefs>
</ds:datastoreItem>
</file>

<file path=customXml/itemProps2.xml><?xml version="1.0" encoding="utf-8"?>
<ds:datastoreItem xmlns:ds="http://schemas.openxmlformats.org/officeDocument/2006/customXml" ds:itemID="{455EC0DC-4195-4D07-8034-66DF5D734C2E}">
  <ds:schemaRefs/>
</ds:datastoreItem>
</file>

<file path=customXml/itemProps3.xml><?xml version="1.0" encoding="utf-8"?>
<ds:datastoreItem xmlns:ds="http://schemas.openxmlformats.org/officeDocument/2006/customXml" ds:itemID="{BAD9626D-DE4E-4482-8F97-D8E90121B395}">
  <ds:schemaRefs>
    <ds:schemaRef ds:uri="http://schemas.microsoft.com/sharepoint/v3/contenttype/forms"/>
  </ds:schemaRefs>
</ds:datastoreItem>
</file>

<file path=customXml/itemProps4.xml><?xml version="1.0" encoding="utf-8"?>
<ds:datastoreItem xmlns:ds="http://schemas.openxmlformats.org/officeDocument/2006/customXml" ds:itemID="{1342E639-2AA7-4331-B120-007B4A235B6A}">
  <ds:schemaRefs/>
</ds:datastoreItem>
</file>

<file path=customXml/itemProps5.xml><?xml version="1.0" encoding="utf-8"?>
<ds:datastoreItem xmlns:ds="http://schemas.openxmlformats.org/officeDocument/2006/customXml" ds:itemID="{C786CD6C-CE3F-43D7-8B91-D5880C35DF62}">
  <ds:schemaRefs/>
</ds:datastoreItem>
</file>

<file path=customXml/itemProps6.xml><?xml version="1.0" encoding="utf-8"?>
<ds:datastoreItem xmlns:ds="http://schemas.openxmlformats.org/officeDocument/2006/customXml" ds:itemID="{A4C8B482-89F8-433A-89C3-4919DF157617}">
  <ds:schemaRefs/>
</ds:datastoreItem>
</file>

<file path=customXml/itemProps7.xml><?xml version="1.0" encoding="utf-8"?>
<ds:datastoreItem xmlns:ds="http://schemas.openxmlformats.org/officeDocument/2006/customXml" ds:itemID="{41BC5973-55C8-49A6-B34E-52CDFD6CF398}">
  <ds:schemaRefs/>
</ds:datastoreItem>
</file>

<file path=customXml/itemProps8.xml><?xml version="1.0" encoding="utf-8"?>
<ds:datastoreItem xmlns:ds="http://schemas.openxmlformats.org/officeDocument/2006/customXml" ds:itemID="{CF5D2AA6-4187-4417-A2CF-B786C3240CE4}">
  <ds:schemaRefs/>
</ds:datastoreItem>
</file>

<file path=customXml/itemProps9.xml><?xml version="1.0" encoding="utf-8"?>
<ds:datastoreItem xmlns:ds="http://schemas.openxmlformats.org/officeDocument/2006/customXml" ds:itemID="{CE62C5AF-4F1D-4EC0-9D32-048188C1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429E2BDA.dotm</Template>
  <TotalTime>0</TotalTime>
  <Pages>1</Pages>
  <Words>26940</Words>
  <Characters>153564</Characters>
  <Application>Microsoft Office Word</Application>
  <DocSecurity>0</DocSecurity>
  <Lines>1279</Lines>
  <Paragraphs>360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2019-12-09T07:54:00Z</dcterms:created>
  <dcterms:modified xsi:type="dcterms:W3CDTF">2020-01-21T11:02:00Z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0x0101005F75C7D576DBCC488E7DBAFF47A5B850</vt:lpwstr>
  </property>
</Properties>
</file>